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8B110" w14:textId="531A6FBC" w:rsidR="00C450E2" w:rsidRPr="0030053C" w:rsidRDefault="00890B90" w:rsidP="000E2BA7">
      <w:pPr>
        <w:pStyle w:val="Headline1"/>
        <w:rPr>
          <w:lang w:val="fr-FR"/>
        </w:rPr>
      </w:pPr>
      <w:r w:rsidRPr="0030053C">
        <w:rPr>
          <w:lang w:val="fr-FR"/>
        </w:rPr>
        <w:t>Communiqué de Presse</w:t>
      </w:r>
    </w:p>
    <w:p w14:paraId="7D8DB70F" w14:textId="77777777" w:rsidR="00A82FFA" w:rsidRPr="0030053C" w:rsidRDefault="00A82FFA" w:rsidP="00A82FFA">
      <w:pPr>
        <w:rPr>
          <w:lang w:val="fr-FR"/>
        </w:rPr>
      </w:pPr>
    </w:p>
    <w:p w14:paraId="40B4AB37" w14:textId="77777777" w:rsidR="00F074B2" w:rsidRPr="0030053C" w:rsidRDefault="00F074B2" w:rsidP="00F074B2">
      <w:pPr>
        <w:spacing w:line="360" w:lineRule="auto"/>
        <w:ind w:right="1276"/>
        <w:rPr>
          <w:rFonts w:cs="Arial"/>
          <w:b/>
          <w:bCs/>
          <w:sz w:val="28"/>
          <w:szCs w:val="28"/>
          <w:lang w:val="fr-FR"/>
        </w:rPr>
      </w:pPr>
    </w:p>
    <w:p w14:paraId="72F879F2" w14:textId="2519A7AA" w:rsidR="00902AEF" w:rsidRDefault="00902AEF" w:rsidP="00890B90">
      <w:pPr>
        <w:pStyle w:val="Headline1"/>
        <w:rPr>
          <w:lang w:val="fr-FR"/>
        </w:rPr>
      </w:pPr>
    </w:p>
    <w:p w14:paraId="6B402422" w14:textId="519727D2" w:rsidR="00B81951" w:rsidRDefault="00995FA3" w:rsidP="00890B90">
      <w:pPr>
        <w:pStyle w:val="Headline1"/>
        <w:rPr>
          <w:sz w:val="28"/>
          <w:szCs w:val="28"/>
          <w:lang w:val="fr-FR"/>
        </w:rPr>
      </w:pPr>
      <w:r w:rsidRPr="00995FA3">
        <w:rPr>
          <w:sz w:val="28"/>
          <w:szCs w:val="28"/>
          <w:lang w:val="fr-FR"/>
        </w:rPr>
        <w:t>ViscoTec révolutionne le dosage de</w:t>
      </w:r>
      <w:r w:rsidR="000F5ED8">
        <w:rPr>
          <w:sz w:val="28"/>
          <w:szCs w:val="28"/>
          <w:lang w:val="fr-FR"/>
        </w:rPr>
        <w:t>s</w:t>
      </w:r>
      <w:r w:rsidRPr="00995FA3">
        <w:rPr>
          <w:sz w:val="28"/>
          <w:szCs w:val="28"/>
          <w:lang w:val="fr-FR"/>
        </w:rPr>
        <w:t xml:space="preserve"> fluides hautement abrasifs</w:t>
      </w:r>
    </w:p>
    <w:p w14:paraId="582A18DF" w14:textId="77777777" w:rsidR="00995FA3" w:rsidRDefault="00995FA3" w:rsidP="00890B90">
      <w:pPr>
        <w:pStyle w:val="Headline1"/>
        <w:rPr>
          <w:lang w:val="fr-FR"/>
        </w:rPr>
      </w:pPr>
    </w:p>
    <w:p w14:paraId="18C7798B" w14:textId="77777777" w:rsidR="00890B90" w:rsidRPr="004C5EF2" w:rsidRDefault="00890B90" w:rsidP="00890B90">
      <w:pPr>
        <w:pStyle w:val="Headline1"/>
        <w:rPr>
          <w:lang w:val="fr-FR"/>
        </w:rPr>
      </w:pPr>
    </w:p>
    <w:p w14:paraId="7F30DABF" w14:textId="545436AC" w:rsidR="000109DF" w:rsidRPr="00B81951" w:rsidRDefault="00C371C3" w:rsidP="00B81951">
      <w:pPr>
        <w:pStyle w:val="Subheadline"/>
        <w:rPr>
          <w:lang w:val="fr-FR"/>
        </w:rPr>
      </w:pPr>
      <w:r>
        <w:rPr>
          <w:lang w:val="fr-FR"/>
        </w:rPr>
        <w:t>Une meilleure longévité</w:t>
      </w:r>
      <w:r w:rsidR="00995FA3" w:rsidRPr="00995FA3">
        <w:rPr>
          <w:lang w:val="fr-FR"/>
        </w:rPr>
        <w:t xml:space="preserve"> et </w:t>
      </w:r>
      <w:r w:rsidR="00F01ECB">
        <w:rPr>
          <w:lang w:val="fr-FR"/>
        </w:rPr>
        <w:t xml:space="preserve">une fiabilité du </w:t>
      </w:r>
      <w:r w:rsidR="00995FA3" w:rsidRPr="00995FA3">
        <w:rPr>
          <w:lang w:val="fr-FR"/>
        </w:rPr>
        <w:t>proces</w:t>
      </w:r>
      <w:r w:rsidR="00AC6C90">
        <w:rPr>
          <w:lang w:val="fr-FR"/>
        </w:rPr>
        <w:t>s</w:t>
      </w:r>
      <w:r w:rsidR="00995FA3" w:rsidRPr="00995FA3">
        <w:rPr>
          <w:lang w:val="fr-FR"/>
        </w:rPr>
        <w:t xml:space="preserve"> </w:t>
      </w:r>
      <w:r w:rsidR="00614B6D">
        <w:rPr>
          <w:lang w:val="fr-FR"/>
        </w:rPr>
        <w:t xml:space="preserve">de dosage </w:t>
      </w:r>
      <w:r w:rsidR="00F01ECB">
        <w:rPr>
          <w:lang w:val="fr-FR"/>
        </w:rPr>
        <w:t xml:space="preserve">plus élevée </w:t>
      </w:r>
      <w:r w:rsidR="00995FA3" w:rsidRPr="00995FA3">
        <w:rPr>
          <w:lang w:val="fr-FR"/>
        </w:rPr>
        <w:t>grâce à l'utilisation de revêtements spéciaux et de rotors en céramique</w:t>
      </w:r>
    </w:p>
    <w:p w14:paraId="05784744" w14:textId="77777777" w:rsidR="00B81951" w:rsidRDefault="00B81951" w:rsidP="00B81951">
      <w:pPr>
        <w:pStyle w:val="Subheadline"/>
        <w:rPr>
          <w:lang w:val="fr-FR"/>
        </w:rPr>
      </w:pPr>
    </w:p>
    <w:p w14:paraId="37E4E7C6" w14:textId="7F38F52F" w:rsidR="00B81951" w:rsidRDefault="00995FA3" w:rsidP="00B81951">
      <w:pPr>
        <w:pStyle w:val="Presse-Fliesstext"/>
        <w:spacing w:after="0"/>
        <w:rPr>
          <w:lang w:val="fr-FR"/>
        </w:rPr>
      </w:pPr>
      <w:r w:rsidRPr="00995FA3">
        <w:rPr>
          <w:lang w:val="fr-FR"/>
        </w:rPr>
        <w:t xml:space="preserve">ViscoTec ouvre un nouveau chapitre dans le domaine du dosage des fluides hautement abrasifs : </w:t>
      </w:r>
      <w:bookmarkStart w:id="0" w:name="_Hlk54767836"/>
      <w:r w:rsidR="004E0B84">
        <w:rPr>
          <w:lang w:val="fr-FR"/>
        </w:rPr>
        <w:t xml:space="preserve">en utilisant </w:t>
      </w:r>
      <w:bookmarkEnd w:id="0"/>
      <w:r w:rsidRPr="00995FA3">
        <w:rPr>
          <w:lang w:val="fr-FR"/>
        </w:rPr>
        <w:t xml:space="preserve">un revêtement spécial </w:t>
      </w:r>
      <w:r w:rsidR="000E1648">
        <w:rPr>
          <w:lang w:val="fr-FR"/>
        </w:rPr>
        <w:t xml:space="preserve">sur les </w:t>
      </w:r>
      <w:r w:rsidRPr="00995FA3">
        <w:rPr>
          <w:lang w:val="fr-FR"/>
        </w:rPr>
        <w:t xml:space="preserve">rotors et </w:t>
      </w:r>
      <w:r w:rsidR="000E1648">
        <w:rPr>
          <w:lang w:val="fr-FR"/>
        </w:rPr>
        <w:t xml:space="preserve">en utilisant </w:t>
      </w:r>
      <w:r w:rsidR="00B43A45">
        <w:rPr>
          <w:lang w:val="fr-FR"/>
        </w:rPr>
        <w:t>plus particulièrement</w:t>
      </w:r>
      <w:r w:rsidR="00D86BA8">
        <w:rPr>
          <w:lang w:val="fr-FR"/>
        </w:rPr>
        <w:t xml:space="preserve"> </w:t>
      </w:r>
      <w:r w:rsidRPr="00995FA3">
        <w:rPr>
          <w:lang w:val="fr-FR"/>
        </w:rPr>
        <w:t>un rotor en céramique,</w:t>
      </w:r>
      <w:r w:rsidR="004E0B84">
        <w:rPr>
          <w:lang w:val="fr-FR"/>
        </w:rPr>
        <w:t xml:space="preserve"> </w:t>
      </w:r>
      <w:r w:rsidR="004E0B84" w:rsidRPr="004E0B84">
        <w:rPr>
          <w:lang w:val="fr-FR"/>
        </w:rPr>
        <w:t xml:space="preserve">les clients </w:t>
      </w:r>
      <w:r w:rsidR="000E1648">
        <w:rPr>
          <w:lang w:val="fr-FR"/>
        </w:rPr>
        <w:t xml:space="preserve">vont pouvoir </w:t>
      </w:r>
      <w:r w:rsidR="004E0B84" w:rsidRPr="004E0B84">
        <w:rPr>
          <w:lang w:val="fr-FR"/>
        </w:rPr>
        <w:t xml:space="preserve">obtenir </w:t>
      </w:r>
      <w:r w:rsidR="001E03C1">
        <w:rPr>
          <w:lang w:val="fr-FR"/>
        </w:rPr>
        <w:t xml:space="preserve">un </w:t>
      </w:r>
      <w:r w:rsidR="004E0B84" w:rsidRPr="004E0B84">
        <w:rPr>
          <w:lang w:val="fr-FR"/>
        </w:rPr>
        <w:t>process</w:t>
      </w:r>
      <w:r w:rsidR="00AC6C90">
        <w:rPr>
          <w:lang w:val="fr-FR"/>
        </w:rPr>
        <w:t xml:space="preserve"> </w:t>
      </w:r>
      <w:r w:rsidR="00F51631">
        <w:rPr>
          <w:lang w:val="fr-FR"/>
        </w:rPr>
        <w:t xml:space="preserve">de dosage </w:t>
      </w:r>
      <w:r w:rsidR="004E0B84" w:rsidRPr="004E0B84">
        <w:rPr>
          <w:lang w:val="fr-FR"/>
        </w:rPr>
        <w:t xml:space="preserve">encore plus </w:t>
      </w:r>
      <w:r w:rsidR="001E03C1">
        <w:rPr>
          <w:lang w:val="fr-FR"/>
        </w:rPr>
        <w:t>fiable</w:t>
      </w:r>
      <w:r w:rsidR="004E0B84" w:rsidRPr="004E0B84">
        <w:rPr>
          <w:lang w:val="fr-FR"/>
        </w:rPr>
        <w:t xml:space="preserve"> grâce à un</w:t>
      </w:r>
      <w:r w:rsidR="007D59A1">
        <w:rPr>
          <w:lang w:val="fr-FR"/>
        </w:rPr>
        <w:t xml:space="preserve"> rallongement de la </w:t>
      </w:r>
      <w:r w:rsidR="004E0B84" w:rsidRPr="004E0B84">
        <w:rPr>
          <w:lang w:val="fr-FR"/>
        </w:rPr>
        <w:t>durée de vie des composants du d</w:t>
      </w:r>
      <w:r w:rsidR="001E03C1">
        <w:rPr>
          <w:lang w:val="fr-FR"/>
        </w:rPr>
        <w:t>oseur</w:t>
      </w:r>
      <w:r w:rsidR="004E0B84" w:rsidRPr="004E0B84">
        <w:rPr>
          <w:lang w:val="fr-FR"/>
        </w:rPr>
        <w:t>.</w:t>
      </w:r>
      <w:r w:rsidRPr="00995FA3">
        <w:rPr>
          <w:lang w:val="fr-FR"/>
        </w:rPr>
        <w:t xml:space="preserve"> </w:t>
      </w:r>
    </w:p>
    <w:p w14:paraId="4250E2B5" w14:textId="77777777" w:rsidR="00106078" w:rsidRPr="004232E7" w:rsidRDefault="00106078" w:rsidP="000109DF">
      <w:pPr>
        <w:pStyle w:val="Presse-Fliesstext"/>
        <w:spacing w:after="0"/>
        <w:rPr>
          <w:lang w:val="fr-FR"/>
        </w:rPr>
      </w:pPr>
    </w:p>
    <w:p w14:paraId="104FD783" w14:textId="55874F57" w:rsidR="00890B90" w:rsidRDefault="00EA7736" w:rsidP="00890B90">
      <w:pPr>
        <w:pStyle w:val="Subheadline"/>
        <w:rPr>
          <w:lang w:val="fr-FR"/>
        </w:rPr>
      </w:pPr>
      <w:r>
        <w:rPr>
          <w:lang w:val="fr-FR"/>
        </w:rPr>
        <w:t>Une montée d</w:t>
      </w:r>
      <w:r w:rsidR="00995FA3" w:rsidRPr="00995FA3">
        <w:rPr>
          <w:lang w:val="fr-FR"/>
        </w:rPr>
        <w:t>es exigences dans la fabrication électronique</w:t>
      </w:r>
    </w:p>
    <w:p w14:paraId="1F60B616" w14:textId="77777777" w:rsidR="00995FA3" w:rsidRPr="000E4659" w:rsidRDefault="00995FA3" w:rsidP="00890B90">
      <w:pPr>
        <w:pStyle w:val="Subheadline"/>
        <w:rPr>
          <w:lang w:val="fr-FR"/>
        </w:rPr>
      </w:pPr>
    </w:p>
    <w:p w14:paraId="5B95FF64" w14:textId="03122A13" w:rsidR="00B81951" w:rsidRDefault="00995FA3" w:rsidP="00B81951">
      <w:pPr>
        <w:pStyle w:val="Presse-Fliesstext"/>
        <w:spacing w:after="0"/>
        <w:rPr>
          <w:lang w:val="fr-FR"/>
        </w:rPr>
      </w:pPr>
      <w:r w:rsidRPr="00995FA3">
        <w:rPr>
          <w:lang w:val="fr-FR"/>
        </w:rPr>
        <w:t xml:space="preserve">La conception toujours plus petite et plus compacte des composants électroniques </w:t>
      </w:r>
      <w:r w:rsidR="006B0FE6" w:rsidRPr="006B0FE6">
        <w:rPr>
          <w:lang w:val="fr-FR"/>
        </w:rPr>
        <w:t>avec une énergie et une puissance en constante augmentation</w:t>
      </w:r>
      <w:r w:rsidRPr="00995FA3">
        <w:rPr>
          <w:lang w:val="fr-FR"/>
        </w:rPr>
        <w:t xml:space="preserve"> nécessite une gestion précise de la température pour garantir leur fonctionnement en toute sécurité pendant </w:t>
      </w:r>
      <w:r w:rsidR="006B0FE6">
        <w:rPr>
          <w:lang w:val="fr-FR"/>
        </w:rPr>
        <w:t xml:space="preserve">toute </w:t>
      </w:r>
      <w:r w:rsidRPr="00995FA3">
        <w:rPr>
          <w:lang w:val="fr-FR"/>
        </w:rPr>
        <w:t>la durée de vie du produit. La connexion thermique des modules électroniques ou des modules de batterie au dissipateur thermique est cruciale pour dissiper la chaleur générée via le dissipateur thermique et ainsi éviter la surchauffe. Pour cela, on utilise des pâtes et des colles conductrices de la chaleur dont la conductivité thermique est de plus en plus élevée pour éliminer l'entrefer.</w:t>
      </w:r>
    </w:p>
    <w:p w14:paraId="6981D76C" w14:textId="77777777" w:rsidR="00995FA3" w:rsidRPr="00B81951" w:rsidRDefault="00995FA3" w:rsidP="00B81951">
      <w:pPr>
        <w:pStyle w:val="Presse-Fliesstext"/>
        <w:spacing w:after="0"/>
        <w:rPr>
          <w:lang w:val="fr-FR"/>
        </w:rPr>
      </w:pPr>
    </w:p>
    <w:p w14:paraId="2483C1A3" w14:textId="62D7C9AE" w:rsidR="009E0D75" w:rsidRDefault="00995FA3" w:rsidP="00995FA3">
      <w:pPr>
        <w:pStyle w:val="Presse-Fliesstext"/>
        <w:spacing w:after="0"/>
        <w:rPr>
          <w:lang w:val="fr-FR"/>
        </w:rPr>
      </w:pPr>
      <w:r w:rsidRPr="00995FA3">
        <w:rPr>
          <w:lang w:val="fr-FR"/>
        </w:rPr>
        <w:t xml:space="preserve">Jusqu'à présent, les pâtes </w:t>
      </w:r>
      <w:proofErr w:type="spellStart"/>
      <w:r w:rsidRPr="00995FA3">
        <w:rPr>
          <w:lang w:val="fr-FR"/>
        </w:rPr>
        <w:t>thermoconductrices</w:t>
      </w:r>
      <w:proofErr w:type="spellEnd"/>
      <w:r w:rsidRPr="00995FA3">
        <w:rPr>
          <w:lang w:val="fr-FR"/>
        </w:rPr>
        <w:t xml:space="preserve"> habituelles n'avaient qu'une conductivité thermique de 0,8 </w:t>
      </w:r>
      <w:r w:rsidR="000818E9">
        <w:rPr>
          <w:lang w:val="fr-FR"/>
        </w:rPr>
        <w:t xml:space="preserve">à </w:t>
      </w:r>
      <w:r w:rsidRPr="00995FA3">
        <w:rPr>
          <w:lang w:val="fr-FR"/>
        </w:rPr>
        <w:t>2,0 W/</w:t>
      </w:r>
      <w:proofErr w:type="spellStart"/>
      <w:r w:rsidRPr="00995FA3">
        <w:rPr>
          <w:lang w:val="fr-FR"/>
        </w:rPr>
        <w:t>mK</w:t>
      </w:r>
      <w:proofErr w:type="spellEnd"/>
      <w:r w:rsidRPr="00995FA3">
        <w:rPr>
          <w:lang w:val="fr-FR"/>
        </w:rPr>
        <w:t xml:space="preserve">. Grâce à des proportions plus élevées de particules solides </w:t>
      </w:r>
      <w:proofErr w:type="spellStart"/>
      <w:r w:rsidRPr="00995FA3">
        <w:rPr>
          <w:lang w:val="fr-FR"/>
        </w:rPr>
        <w:t>thermoconductrices</w:t>
      </w:r>
      <w:proofErr w:type="spellEnd"/>
      <w:r w:rsidR="00B4419C">
        <w:rPr>
          <w:lang w:val="fr-FR"/>
        </w:rPr>
        <w:t>,</w:t>
      </w:r>
      <w:r w:rsidRPr="00995FA3">
        <w:rPr>
          <w:lang w:val="fr-FR"/>
        </w:rPr>
        <w:t xml:space="preserve"> à </w:t>
      </w:r>
      <w:r w:rsidR="008F761B">
        <w:rPr>
          <w:lang w:val="fr-FR"/>
        </w:rPr>
        <w:t xml:space="preserve">une </w:t>
      </w:r>
      <w:r w:rsidR="00B4419C">
        <w:rPr>
          <w:lang w:val="fr-FR"/>
        </w:rPr>
        <w:t xml:space="preserve">granulométrie </w:t>
      </w:r>
      <w:r w:rsidR="008F761B">
        <w:rPr>
          <w:lang w:val="fr-FR"/>
        </w:rPr>
        <w:t xml:space="preserve">spécifique </w:t>
      </w:r>
      <w:r w:rsidRPr="00995FA3">
        <w:rPr>
          <w:lang w:val="fr-FR"/>
        </w:rPr>
        <w:t xml:space="preserve">et </w:t>
      </w:r>
      <w:r w:rsidR="00FE3801">
        <w:rPr>
          <w:lang w:val="fr-FR"/>
        </w:rPr>
        <w:t>à</w:t>
      </w:r>
      <w:r w:rsidRPr="00995FA3">
        <w:rPr>
          <w:lang w:val="fr-FR"/>
        </w:rPr>
        <w:t xml:space="preserve"> différents types de charges, des valeurs allant </w:t>
      </w:r>
      <w:r w:rsidR="00FE3801">
        <w:rPr>
          <w:lang w:val="fr-FR"/>
        </w:rPr>
        <w:t>de</w:t>
      </w:r>
      <w:r w:rsidRPr="00995FA3">
        <w:rPr>
          <w:lang w:val="fr-FR"/>
        </w:rPr>
        <w:t xml:space="preserve"> 7</w:t>
      </w:r>
      <w:r w:rsidR="00FE3801">
        <w:rPr>
          <w:lang w:val="fr-FR"/>
        </w:rPr>
        <w:t xml:space="preserve"> à</w:t>
      </w:r>
      <w:r w:rsidRPr="00995FA3">
        <w:rPr>
          <w:lang w:val="fr-FR"/>
        </w:rPr>
        <w:t xml:space="preserve"> 8 W/</w:t>
      </w:r>
      <w:proofErr w:type="spellStart"/>
      <w:r w:rsidRPr="00995FA3">
        <w:rPr>
          <w:lang w:val="fr-FR"/>
        </w:rPr>
        <w:t>mK</w:t>
      </w:r>
      <w:proofErr w:type="spellEnd"/>
      <w:r w:rsidRPr="00995FA3">
        <w:rPr>
          <w:lang w:val="fr-FR"/>
        </w:rPr>
        <w:t xml:space="preserve"> ont maintenant été atteintes. Ces charges, essentiellement céramiques, comme l'oxyde d'aluminium ou le nitrure d'aluminium, ont une conductivité thermique très élevée combinée à une isolation électrique. Toutefois, en raison de leur dureté </w:t>
      </w:r>
      <w:proofErr w:type="spellStart"/>
      <w:r w:rsidRPr="00995FA3">
        <w:rPr>
          <w:lang w:val="fr-FR"/>
        </w:rPr>
        <w:t>Mohs</w:t>
      </w:r>
      <w:proofErr w:type="spellEnd"/>
      <w:r w:rsidRPr="00995FA3">
        <w:rPr>
          <w:lang w:val="fr-FR"/>
        </w:rPr>
        <w:t xml:space="preserve"> élevée, pouvant atteindre 9 ou 10, la technologie de dosage </w:t>
      </w:r>
      <w:r w:rsidR="00F13182">
        <w:rPr>
          <w:lang w:val="fr-FR"/>
        </w:rPr>
        <w:t>présente</w:t>
      </w:r>
      <w:r w:rsidRPr="00995FA3">
        <w:rPr>
          <w:lang w:val="fr-FR"/>
        </w:rPr>
        <w:t xml:space="preserve"> des </w:t>
      </w:r>
      <w:r w:rsidR="00E66E88">
        <w:rPr>
          <w:lang w:val="fr-FR"/>
        </w:rPr>
        <w:t>exigences</w:t>
      </w:r>
      <w:r w:rsidRPr="00995FA3">
        <w:rPr>
          <w:lang w:val="fr-FR"/>
        </w:rPr>
        <w:t xml:space="preserve"> particuli</w:t>
      </w:r>
      <w:r w:rsidR="00E66E88">
        <w:rPr>
          <w:lang w:val="fr-FR"/>
        </w:rPr>
        <w:t>ère</w:t>
      </w:r>
      <w:r w:rsidRPr="00995FA3">
        <w:rPr>
          <w:lang w:val="fr-FR"/>
        </w:rPr>
        <w:t xml:space="preserve">s en ce qui concerne l'usure et les </w:t>
      </w:r>
      <w:r w:rsidR="008F761B">
        <w:rPr>
          <w:lang w:val="fr-FR"/>
        </w:rPr>
        <w:t>fréquences de maintenance</w:t>
      </w:r>
      <w:r w:rsidRPr="00995FA3">
        <w:rPr>
          <w:lang w:val="fr-FR"/>
        </w:rPr>
        <w:t>.</w:t>
      </w:r>
    </w:p>
    <w:p w14:paraId="3FDE2DD8" w14:textId="77777777" w:rsidR="00995FA3" w:rsidRDefault="00995FA3" w:rsidP="00746C0A">
      <w:pPr>
        <w:pStyle w:val="StandardWeb"/>
        <w:rPr>
          <w:rStyle w:val="Fett"/>
          <w:lang w:val="fr-FR"/>
        </w:rPr>
      </w:pPr>
    </w:p>
    <w:p w14:paraId="6EA34F4F" w14:textId="77777777" w:rsidR="009E0D75" w:rsidRDefault="009E0D75" w:rsidP="00746C0A">
      <w:pPr>
        <w:pStyle w:val="StandardWeb"/>
        <w:rPr>
          <w:rStyle w:val="Fett"/>
          <w:lang w:val="fr-FR"/>
        </w:rPr>
      </w:pPr>
    </w:p>
    <w:p w14:paraId="6105F658" w14:textId="77777777" w:rsidR="007E7837" w:rsidRDefault="007E7837" w:rsidP="00995FA3">
      <w:pPr>
        <w:pStyle w:val="Presse-Fliesstext"/>
        <w:spacing w:after="0"/>
        <w:rPr>
          <w:lang w:val="fr-FR"/>
        </w:rPr>
      </w:pPr>
    </w:p>
    <w:p w14:paraId="6F296308" w14:textId="77777777" w:rsidR="007E7837" w:rsidRDefault="007E7837" w:rsidP="00995FA3">
      <w:pPr>
        <w:pStyle w:val="Presse-Fliesstext"/>
        <w:spacing w:after="0"/>
        <w:rPr>
          <w:lang w:val="fr-FR"/>
        </w:rPr>
      </w:pPr>
    </w:p>
    <w:p w14:paraId="0209C5BD" w14:textId="7FEF2FDA" w:rsidR="009E0D75" w:rsidRPr="00A94C81" w:rsidRDefault="00995FA3" w:rsidP="00995FA3">
      <w:pPr>
        <w:pStyle w:val="Presse-Fliesstext"/>
        <w:spacing w:after="0"/>
        <w:rPr>
          <w:lang w:val="fr-FR"/>
        </w:rPr>
      </w:pPr>
      <w:r w:rsidRPr="00995FA3">
        <w:rPr>
          <w:lang w:val="fr-FR"/>
        </w:rPr>
        <w:t xml:space="preserve">Depuis des décennies, ViscoTec s'est spécialisé dans ces applications de dosage difficiles dans un large éventail d'industries. La durée de vie du système peut déjà être considérablement augmentée </w:t>
      </w:r>
      <w:r w:rsidR="006046D0">
        <w:rPr>
          <w:lang w:val="fr-FR"/>
        </w:rPr>
        <w:t xml:space="preserve">en sélectionnant </w:t>
      </w:r>
      <w:r w:rsidRPr="00995FA3">
        <w:rPr>
          <w:lang w:val="fr-FR"/>
        </w:rPr>
        <w:t>minutieuse</w:t>
      </w:r>
      <w:r w:rsidR="006046D0">
        <w:rPr>
          <w:lang w:val="fr-FR"/>
        </w:rPr>
        <w:t>ment l</w:t>
      </w:r>
      <w:r w:rsidRPr="00995FA3">
        <w:rPr>
          <w:lang w:val="fr-FR"/>
        </w:rPr>
        <w:t xml:space="preserve">es composants du système en fonction des exigences respectives du client. Cependant, l'usure est inévitable </w:t>
      </w:r>
      <w:r w:rsidR="004A6CA8">
        <w:rPr>
          <w:lang w:val="fr-FR"/>
        </w:rPr>
        <w:t>quelle que</w:t>
      </w:r>
      <w:r w:rsidR="002972B9">
        <w:rPr>
          <w:lang w:val="fr-FR"/>
        </w:rPr>
        <w:t xml:space="preserve"> soit la</w:t>
      </w:r>
      <w:r w:rsidRPr="00995FA3">
        <w:rPr>
          <w:lang w:val="fr-FR"/>
        </w:rPr>
        <w:t xml:space="preserve"> technologie lors du dosage de fluides abrasifs.</w:t>
      </w:r>
    </w:p>
    <w:p w14:paraId="41AB8AE9" w14:textId="77777777" w:rsidR="009E0D75" w:rsidRDefault="009E0D75" w:rsidP="00746C0A">
      <w:pPr>
        <w:pStyle w:val="StandardWeb"/>
        <w:rPr>
          <w:rStyle w:val="Fett"/>
          <w:lang w:val="fr-FR"/>
        </w:rPr>
      </w:pPr>
    </w:p>
    <w:p w14:paraId="1A4B5C46" w14:textId="77777777" w:rsidR="007E7837" w:rsidRDefault="007E7837" w:rsidP="00106078">
      <w:pPr>
        <w:pStyle w:val="Presse-Fliesstext"/>
        <w:spacing w:after="0"/>
        <w:rPr>
          <w:rStyle w:val="Fett"/>
          <w:lang w:val="fr-FR"/>
        </w:rPr>
      </w:pPr>
    </w:p>
    <w:p w14:paraId="66A4F474" w14:textId="36A95C6C" w:rsidR="00106078" w:rsidRDefault="00995FA3" w:rsidP="00106078">
      <w:pPr>
        <w:pStyle w:val="Presse-Fliesstext"/>
        <w:spacing w:after="0"/>
        <w:rPr>
          <w:rStyle w:val="Fett"/>
          <w:lang w:val="fr-FR"/>
        </w:rPr>
      </w:pPr>
      <w:r w:rsidRPr="00995FA3">
        <w:rPr>
          <w:rStyle w:val="Fett"/>
          <w:lang w:val="fr-FR"/>
        </w:rPr>
        <w:t>Des tests à long terme confirment souvent que les composants nouvellement développés ont une durée de vie plus longue</w:t>
      </w:r>
    </w:p>
    <w:p w14:paraId="2821A82B" w14:textId="77777777" w:rsidR="00995FA3" w:rsidRPr="007E7837" w:rsidRDefault="00995FA3" w:rsidP="00106078">
      <w:pPr>
        <w:pStyle w:val="Presse-Fliesstext"/>
        <w:spacing w:after="0"/>
        <w:rPr>
          <w:lang w:val="fr-FR"/>
        </w:rPr>
      </w:pPr>
    </w:p>
    <w:p w14:paraId="6C99837E" w14:textId="15CBCFED" w:rsidR="00746C0A" w:rsidRDefault="00995FA3" w:rsidP="00746C0A">
      <w:pPr>
        <w:pStyle w:val="Presse-Fliesstext"/>
        <w:spacing w:after="0"/>
        <w:rPr>
          <w:lang w:val="fr-FR"/>
        </w:rPr>
      </w:pPr>
      <w:bookmarkStart w:id="1" w:name="_Hlk54096417"/>
      <w:r w:rsidRPr="00995FA3">
        <w:rPr>
          <w:lang w:val="fr-FR"/>
        </w:rPr>
        <w:t xml:space="preserve">Afin d'augmenter sensiblement la durée de vie des composants de dosage, le rotor éprouvé en acier inoxydable a été perfectionné </w:t>
      </w:r>
      <w:r w:rsidR="00CD2077">
        <w:rPr>
          <w:lang w:val="fr-FR"/>
        </w:rPr>
        <w:t>grâce à</w:t>
      </w:r>
      <w:r w:rsidRPr="00995FA3">
        <w:rPr>
          <w:lang w:val="fr-FR"/>
        </w:rPr>
        <w:t xml:space="preserve"> l'utilisation de revêtements spéciaux basés sur le revêtement en diamant.</w:t>
      </w:r>
    </w:p>
    <w:bookmarkEnd w:id="1"/>
    <w:p w14:paraId="764485E7" w14:textId="77777777" w:rsidR="00995FA3" w:rsidRDefault="00995FA3" w:rsidP="007E7837">
      <w:pPr>
        <w:pStyle w:val="Presse-Fliesstext"/>
        <w:spacing w:after="0"/>
        <w:rPr>
          <w:lang w:val="fr-FR"/>
        </w:rPr>
      </w:pPr>
    </w:p>
    <w:p w14:paraId="1514E2DE" w14:textId="28F44339" w:rsidR="00995FA3" w:rsidRDefault="00995FA3" w:rsidP="007E7837">
      <w:pPr>
        <w:pStyle w:val="Presse-Fliesstext"/>
        <w:spacing w:after="0"/>
        <w:rPr>
          <w:lang w:val="fr-FR"/>
        </w:rPr>
      </w:pPr>
      <w:r w:rsidRPr="00995FA3">
        <w:rPr>
          <w:lang w:val="fr-FR"/>
        </w:rPr>
        <w:t xml:space="preserve">Et surtout la nouvelle version du rotor en tout-céramique révolutionne le dosage volumétrique des pâtes </w:t>
      </w:r>
      <w:proofErr w:type="spellStart"/>
      <w:r w:rsidRPr="00995FA3">
        <w:rPr>
          <w:lang w:val="fr-FR"/>
        </w:rPr>
        <w:t>thermoconductrices</w:t>
      </w:r>
      <w:proofErr w:type="spellEnd"/>
      <w:r w:rsidRPr="00995FA3">
        <w:rPr>
          <w:lang w:val="fr-FR"/>
        </w:rPr>
        <w:t xml:space="preserve"> : de nombreux tests internes à long terme ainsi que des tests effectués sur le terrain, avec des systèmes existants de clients</w:t>
      </w:r>
      <w:r w:rsidR="00CD2077">
        <w:rPr>
          <w:lang w:val="fr-FR"/>
        </w:rPr>
        <w:t>,</w:t>
      </w:r>
      <w:r w:rsidRPr="00995FA3">
        <w:rPr>
          <w:lang w:val="fr-FR"/>
        </w:rPr>
        <w:t xml:space="preserve"> ont permis de démontrer une nette optimisation. Le revêtement spécial peut doubler ou tripler la durée de vie des composants principaux. Selon les expériences actuelles, avec la version céramique du rotor, la durée de vie des composants principaux peut être prolongée d'environ 9 à 10 fois.</w:t>
      </w:r>
    </w:p>
    <w:p w14:paraId="1F19AA5C" w14:textId="77777777" w:rsidR="007E7837" w:rsidRPr="00995FA3" w:rsidRDefault="007E7837" w:rsidP="007E7837">
      <w:pPr>
        <w:pStyle w:val="Presse-Fliesstext"/>
        <w:spacing w:after="0"/>
        <w:rPr>
          <w:lang w:val="fr-FR"/>
        </w:rPr>
      </w:pPr>
    </w:p>
    <w:p w14:paraId="00AC76B3" w14:textId="356372AC" w:rsidR="00F322FF" w:rsidRDefault="006046D0" w:rsidP="00995FA3">
      <w:pPr>
        <w:pStyle w:val="Presse-Fliesstext"/>
        <w:spacing w:after="0"/>
        <w:rPr>
          <w:lang w:val="fr-FR"/>
        </w:rPr>
      </w:pPr>
      <w:r>
        <w:rPr>
          <w:lang w:val="fr-FR"/>
        </w:rPr>
        <w:t>A</w:t>
      </w:r>
      <w:r w:rsidR="00995FA3" w:rsidRPr="00995FA3">
        <w:rPr>
          <w:lang w:val="fr-FR"/>
        </w:rPr>
        <w:t xml:space="preserve">vec des durées de fonctionnement allant de plusieurs mois à plus d'un an et des quantités de matière dosée de plusieurs centaines à </w:t>
      </w:r>
      <w:r w:rsidR="00BA1D89">
        <w:rPr>
          <w:lang w:val="fr-FR"/>
        </w:rPr>
        <w:t xml:space="preserve">des </w:t>
      </w:r>
      <w:r w:rsidR="00995FA3" w:rsidRPr="00995FA3">
        <w:rPr>
          <w:lang w:val="fr-FR"/>
        </w:rPr>
        <w:t xml:space="preserve">milliers de litres, </w:t>
      </w:r>
      <w:r>
        <w:rPr>
          <w:lang w:val="fr-FR"/>
        </w:rPr>
        <w:t>l</w:t>
      </w:r>
      <w:r w:rsidRPr="00995FA3">
        <w:rPr>
          <w:lang w:val="fr-FR"/>
        </w:rPr>
        <w:t xml:space="preserve">es différents tests à long terme </w:t>
      </w:r>
      <w:r w:rsidR="00995FA3" w:rsidRPr="00995FA3">
        <w:rPr>
          <w:lang w:val="fr-FR"/>
        </w:rPr>
        <w:t xml:space="preserve">ne montrent </w:t>
      </w:r>
      <w:r w:rsidR="00A50622">
        <w:rPr>
          <w:lang w:val="fr-FR"/>
        </w:rPr>
        <w:t xml:space="preserve">jusqu’à présent </w:t>
      </w:r>
      <w:r w:rsidR="00995FA3" w:rsidRPr="00995FA3">
        <w:rPr>
          <w:lang w:val="fr-FR"/>
        </w:rPr>
        <w:t>pratiquement aucun signe d'usure du rotor en céramique. Un dosage</w:t>
      </w:r>
      <w:r w:rsidR="003F5976">
        <w:rPr>
          <w:lang w:val="fr-FR"/>
        </w:rPr>
        <w:t xml:space="preserve"> fiable</w:t>
      </w:r>
      <w:r w:rsidR="00995FA3" w:rsidRPr="00995FA3">
        <w:rPr>
          <w:lang w:val="fr-FR"/>
        </w:rPr>
        <w:t xml:space="preserve"> et sans danger est encore possible, ce qui permet d'envisager une durée d'utilisation beaucoup plus longue. Par conséquent, le coût d'utilisation peut être considérablement réduit.</w:t>
      </w:r>
    </w:p>
    <w:p w14:paraId="391FF1F9" w14:textId="1992B3A1" w:rsidR="00995FA3" w:rsidRDefault="00995FA3" w:rsidP="00995FA3">
      <w:pPr>
        <w:pStyle w:val="Presse-Fliesstext"/>
        <w:spacing w:after="0"/>
        <w:rPr>
          <w:lang w:val="fr-FR"/>
        </w:rPr>
      </w:pPr>
    </w:p>
    <w:p w14:paraId="2C01D69F" w14:textId="5D934EE7" w:rsidR="00995FA3" w:rsidRDefault="00995FA3" w:rsidP="00995FA3">
      <w:pPr>
        <w:pStyle w:val="Presse-Fliesstext"/>
        <w:spacing w:after="0"/>
        <w:rPr>
          <w:lang w:val="fr-FR"/>
        </w:rPr>
      </w:pPr>
    </w:p>
    <w:p w14:paraId="7746D625" w14:textId="73924EA9" w:rsidR="00995FA3" w:rsidRDefault="00995FA3" w:rsidP="00995FA3">
      <w:pPr>
        <w:pStyle w:val="Presse-Fliesstext"/>
        <w:spacing w:after="0"/>
        <w:rPr>
          <w:lang w:val="fr-FR"/>
        </w:rPr>
      </w:pPr>
    </w:p>
    <w:p w14:paraId="4EE0A819" w14:textId="1B9DA6EB" w:rsidR="00995FA3" w:rsidRDefault="00995FA3" w:rsidP="00995FA3">
      <w:pPr>
        <w:pStyle w:val="Presse-Fliesstext"/>
        <w:spacing w:after="0"/>
        <w:rPr>
          <w:lang w:val="fr-FR"/>
        </w:rPr>
      </w:pPr>
    </w:p>
    <w:p w14:paraId="0A194510" w14:textId="067B396D" w:rsidR="00995FA3" w:rsidRDefault="00995FA3" w:rsidP="00995FA3">
      <w:pPr>
        <w:pStyle w:val="Presse-Fliesstext"/>
        <w:spacing w:after="0"/>
        <w:rPr>
          <w:lang w:val="fr-FR"/>
        </w:rPr>
      </w:pPr>
    </w:p>
    <w:p w14:paraId="5052D685" w14:textId="77777777" w:rsidR="00995FA3" w:rsidRPr="00A94C81" w:rsidRDefault="00995FA3" w:rsidP="00890B90">
      <w:pPr>
        <w:pStyle w:val="Subheadline"/>
        <w:rPr>
          <w:u w:val="single"/>
          <w:lang w:val="fr-FR"/>
        </w:rPr>
      </w:pPr>
    </w:p>
    <w:p w14:paraId="1A7AFF99" w14:textId="77777777" w:rsidR="00522D55" w:rsidRDefault="00522D55" w:rsidP="00995FA3">
      <w:pPr>
        <w:pStyle w:val="Presse-Fliesstext"/>
        <w:spacing w:after="0"/>
        <w:rPr>
          <w:b/>
          <w:bCs/>
          <w:lang w:val="fr-FR"/>
        </w:rPr>
      </w:pPr>
    </w:p>
    <w:p w14:paraId="187ACB5E" w14:textId="13007342" w:rsidR="00995FA3" w:rsidRDefault="00995FA3" w:rsidP="00995FA3">
      <w:pPr>
        <w:pStyle w:val="Presse-Fliesstext"/>
        <w:spacing w:after="0"/>
        <w:rPr>
          <w:lang w:val="fr-FR"/>
        </w:rPr>
      </w:pPr>
      <w:r w:rsidRPr="00995FA3">
        <w:rPr>
          <w:b/>
          <w:bCs/>
          <w:lang w:val="fr-FR"/>
        </w:rPr>
        <w:t>"</w:t>
      </w:r>
      <w:r w:rsidRPr="00DB0571">
        <w:rPr>
          <w:b/>
          <w:bCs/>
          <w:i/>
          <w:iCs/>
          <w:lang w:val="fr-FR"/>
        </w:rPr>
        <w:t>Combattre le feu par le feu</w:t>
      </w:r>
      <w:r w:rsidRPr="00DB0571">
        <w:rPr>
          <w:i/>
          <w:iCs/>
          <w:lang w:val="fr-FR"/>
        </w:rPr>
        <w:t xml:space="preserve"> - c'est la devise du rotor en céramique</w:t>
      </w:r>
      <w:r w:rsidRPr="00995FA3">
        <w:rPr>
          <w:lang w:val="fr-FR"/>
        </w:rPr>
        <w:t>", déclare Manuel Paintmayer, le responsable des relations avec les fabricants de matériaux chez ViscoTec. "</w:t>
      </w:r>
      <w:r w:rsidRPr="00DB0571">
        <w:rPr>
          <w:i/>
          <w:iCs/>
          <w:lang w:val="fr-FR"/>
        </w:rPr>
        <w:t xml:space="preserve">En raison de la dureté de surface 3 à 4 fois plus élevée que celle de la version précédente du rotor en acier inoxydable </w:t>
      </w:r>
      <w:r w:rsidR="004A28F1">
        <w:rPr>
          <w:i/>
          <w:iCs/>
          <w:lang w:val="fr-FR"/>
        </w:rPr>
        <w:t xml:space="preserve">en </w:t>
      </w:r>
      <w:r w:rsidRPr="00DB0571">
        <w:rPr>
          <w:i/>
          <w:iCs/>
          <w:lang w:val="fr-FR"/>
        </w:rPr>
        <w:t>chrom</w:t>
      </w:r>
      <w:r w:rsidR="004A28F1">
        <w:rPr>
          <w:i/>
          <w:iCs/>
          <w:lang w:val="fr-FR"/>
        </w:rPr>
        <w:t>e</w:t>
      </w:r>
      <w:r w:rsidRPr="00DB0571">
        <w:rPr>
          <w:i/>
          <w:iCs/>
          <w:lang w:val="fr-FR"/>
        </w:rPr>
        <w:t xml:space="preserve"> dur, les tests à long terme avec des produits de remplissage de pointe n'ont pas encore montré d'usure ou de dommages mesurables à la surface du rotor en céramique</w:t>
      </w:r>
      <w:r w:rsidRPr="00995FA3">
        <w:rPr>
          <w:lang w:val="fr-FR"/>
        </w:rPr>
        <w:t xml:space="preserve">", poursuit </w:t>
      </w:r>
      <w:r w:rsidR="00DB0571">
        <w:rPr>
          <w:lang w:val="fr-FR"/>
        </w:rPr>
        <w:t xml:space="preserve">Manuel </w:t>
      </w:r>
      <w:r w:rsidRPr="00995FA3">
        <w:rPr>
          <w:lang w:val="fr-FR"/>
        </w:rPr>
        <w:t>Paintmayer. L</w:t>
      </w:r>
      <w:r w:rsidR="002D0802">
        <w:rPr>
          <w:lang w:val="fr-FR"/>
        </w:rPr>
        <w:t>e</w:t>
      </w:r>
      <w:r w:rsidRPr="00995FA3">
        <w:rPr>
          <w:lang w:val="fr-FR"/>
        </w:rPr>
        <w:t xml:space="preserve"> </w:t>
      </w:r>
      <w:r w:rsidR="006046D0">
        <w:rPr>
          <w:lang w:val="fr-FR"/>
        </w:rPr>
        <w:t>pendant</w:t>
      </w:r>
      <w:r w:rsidRPr="00995FA3">
        <w:rPr>
          <w:lang w:val="fr-FR"/>
        </w:rPr>
        <w:t xml:space="preserve"> du rotor dans le doseur est le stator, </w:t>
      </w:r>
      <w:r w:rsidR="006046D0">
        <w:rPr>
          <w:lang w:val="fr-FR"/>
        </w:rPr>
        <w:t>il</w:t>
      </w:r>
      <w:r w:rsidRPr="00995FA3">
        <w:rPr>
          <w:lang w:val="fr-FR"/>
        </w:rPr>
        <w:t xml:space="preserve"> est fait </w:t>
      </w:r>
      <w:r w:rsidR="006046D0">
        <w:rPr>
          <w:lang w:val="fr-FR"/>
        </w:rPr>
        <w:t xml:space="preserve">avec des </w:t>
      </w:r>
      <w:r w:rsidRPr="00995FA3">
        <w:rPr>
          <w:lang w:val="fr-FR"/>
        </w:rPr>
        <w:t xml:space="preserve">élastomères spéciaux. </w:t>
      </w:r>
      <w:r w:rsidR="006046D0">
        <w:rPr>
          <w:lang w:val="fr-FR"/>
        </w:rPr>
        <w:t>G</w:t>
      </w:r>
      <w:r w:rsidR="006046D0" w:rsidRPr="00995FA3">
        <w:rPr>
          <w:lang w:val="fr-FR"/>
        </w:rPr>
        <w:t>râce à la surface inchangée du rotor</w:t>
      </w:r>
      <w:r w:rsidR="006046D0">
        <w:rPr>
          <w:lang w:val="fr-FR"/>
        </w:rPr>
        <w:t xml:space="preserve">, </w:t>
      </w:r>
      <w:r w:rsidR="00CD2A89">
        <w:rPr>
          <w:lang w:val="fr-FR"/>
        </w:rPr>
        <w:t>sa durée de vie a également été prolongée</w:t>
      </w:r>
      <w:r w:rsidR="00A50622">
        <w:rPr>
          <w:lang w:val="fr-FR"/>
        </w:rPr>
        <w:t>.</w:t>
      </w:r>
    </w:p>
    <w:p w14:paraId="300DC249" w14:textId="77777777" w:rsidR="00995FA3" w:rsidRPr="00995FA3" w:rsidRDefault="00995FA3" w:rsidP="00995FA3">
      <w:pPr>
        <w:pStyle w:val="Presse-Fliesstext"/>
        <w:spacing w:after="0"/>
        <w:rPr>
          <w:lang w:val="fr-FR"/>
        </w:rPr>
      </w:pPr>
    </w:p>
    <w:p w14:paraId="39D89FA1" w14:textId="6BF57CD9" w:rsidR="00995FA3" w:rsidRDefault="00995FA3" w:rsidP="00995FA3">
      <w:pPr>
        <w:pStyle w:val="Presse-Fliesstext"/>
        <w:spacing w:after="0"/>
        <w:rPr>
          <w:lang w:val="fr-FR"/>
        </w:rPr>
      </w:pPr>
      <w:r w:rsidRPr="00995FA3">
        <w:rPr>
          <w:lang w:val="fr-FR"/>
        </w:rPr>
        <w:t xml:space="preserve">Les rotors en céramique pour des cartouches de 50 µl et plus n'ont montré aucun signe de dysfonctionnement ou d'usure après plus de 100 l de produit de remplissage dosé. Cela correspond à plus de 2.000.000 de doses individuelles. Des résultats identiques ont été obtenus pour des doseurs plus grands avec des doses de 1,7 ml. Après plus de 4 000 l de produit dosé, aucun signe d'usure du rotor n'a pu être </w:t>
      </w:r>
      <w:r w:rsidR="0055684E">
        <w:rPr>
          <w:lang w:val="fr-FR"/>
        </w:rPr>
        <w:t>constaté</w:t>
      </w:r>
      <w:r w:rsidRPr="00995FA3">
        <w:rPr>
          <w:lang w:val="fr-FR"/>
        </w:rPr>
        <w:t xml:space="preserve"> et un dosage précis et </w:t>
      </w:r>
      <w:r w:rsidR="00DB0571">
        <w:rPr>
          <w:lang w:val="fr-FR"/>
        </w:rPr>
        <w:t>fiable</w:t>
      </w:r>
      <w:r w:rsidRPr="00995FA3">
        <w:rPr>
          <w:lang w:val="fr-FR"/>
        </w:rPr>
        <w:t xml:space="preserve"> était encore possible. Ces résultats ont même été obtenus en n'utilisant qu'un seul </w:t>
      </w:r>
      <w:r w:rsidR="006D05FE">
        <w:rPr>
          <w:lang w:val="fr-FR"/>
        </w:rPr>
        <w:t xml:space="preserve">et même </w:t>
      </w:r>
      <w:r w:rsidRPr="00995FA3">
        <w:rPr>
          <w:lang w:val="fr-FR"/>
        </w:rPr>
        <w:t>stator.</w:t>
      </w:r>
    </w:p>
    <w:p w14:paraId="1C9FA523" w14:textId="77777777" w:rsidR="00995FA3" w:rsidRPr="00995FA3" w:rsidRDefault="00995FA3" w:rsidP="00995FA3">
      <w:pPr>
        <w:pStyle w:val="Presse-Fliesstext"/>
        <w:spacing w:after="0"/>
        <w:rPr>
          <w:lang w:val="fr-FR"/>
        </w:rPr>
      </w:pPr>
    </w:p>
    <w:p w14:paraId="4670AC18" w14:textId="77777777" w:rsidR="00995FA3" w:rsidRPr="00995FA3" w:rsidRDefault="00995FA3" w:rsidP="00995FA3">
      <w:pPr>
        <w:pStyle w:val="Presse-Fliesstext"/>
        <w:spacing w:after="0"/>
        <w:rPr>
          <w:lang w:val="fr-FR"/>
        </w:rPr>
      </w:pPr>
      <w:r w:rsidRPr="00995FA3">
        <w:rPr>
          <w:lang w:val="fr-FR"/>
        </w:rPr>
        <w:t>L'utilisation de rotors en céramique présente donc de nombreux avantages pour les clients :</w:t>
      </w:r>
    </w:p>
    <w:p w14:paraId="6B86EEEE" w14:textId="4C853F51" w:rsidR="00995FA3" w:rsidRDefault="00995FA3" w:rsidP="00995FA3">
      <w:pPr>
        <w:pStyle w:val="Presse-Fliesstext"/>
        <w:numPr>
          <w:ilvl w:val="0"/>
          <w:numId w:val="11"/>
        </w:numPr>
        <w:spacing w:after="0"/>
        <w:rPr>
          <w:lang w:val="fr-FR"/>
        </w:rPr>
      </w:pPr>
      <w:proofErr w:type="gramStart"/>
      <w:r w:rsidRPr="00995FA3">
        <w:rPr>
          <w:lang w:val="fr-FR"/>
        </w:rPr>
        <w:t>une</w:t>
      </w:r>
      <w:proofErr w:type="gramEnd"/>
      <w:r w:rsidRPr="00995FA3">
        <w:rPr>
          <w:lang w:val="fr-FR"/>
        </w:rPr>
        <w:t xml:space="preserve"> fiabilité maximale du process grâce à la précision de dosage inchangée du système de dosage volumétrique</w:t>
      </w:r>
    </w:p>
    <w:p w14:paraId="57E54085" w14:textId="77777777" w:rsidR="00431386" w:rsidRPr="00431386" w:rsidRDefault="00431386" w:rsidP="00431386">
      <w:pPr>
        <w:pStyle w:val="Presse-Fliesstext"/>
        <w:spacing w:after="0"/>
        <w:ind w:left="1429"/>
        <w:rPr>
          <w:sz w:val="10"/>
          <w:szCs w:val="12"/>
          <w:lang w:val="fr-FR"/>
        </w:rPr>
      </w:pPr>
    </w:p>
    <w:p w14:paraId="328914FA" w14:textId="54C346A7" w:rsidR="00995FA3" w:rsidRDefault="00995FA3" w:rsidP="00995FA3">
      <w:pPr>
        <w:pStyle w:val="Presse-Fliesstext"/>
        <w:numPr>
          <w:ilvl w:val="0"/>
          <w:numId w:val="11"/>
        </w:numPr>
        <w:spacing w:after="0"/>
        <w:rPr>
          <w:lang w:val="fr-FR"/>
        </w:rPr>
      </w:pPr>
      <w:proofErr w:type="gramStart"/>
      <w:r w:rsidRPr="00995FA3">
        <w:rPr>
          <w:lang w:val="fr-FR"/>
        </w:rPr>
        <w:t>une</w:t>
      </w:r>
      <w:proofErr w:type="gramEnd"/>
      <w:r w:rsidRPr="00995FA3">
        <w:rPr>
          <w:lang w:val="fr-FR"/>
        </w:rPr>
        <w:t xml:space="preserve"> minimisation des temps d'installation et d'arrêt</w:t>
      </w:r>
    </w:p>
    <w:p w14:paraId="627A5D7E" w14:textId="77777777" w:rsidR="00431386" w:rsidRPr="00431386" w:rsidRDefault="00431386" w:rsidP="00431386">
      <w:pPr>
        <w:pStyle w:val="Presse-Fliesstext"/>
        <w:spacing w:after="0"/>
        <w:ind w:left="1429"/>
        <w:rPr>
          <w:sz w:val="10"/>
          <w:szCs w:val="12"/>
          <w:lang w:val="fr-FR"/>
        </w:rPr>
      </w:pPr>
    </w:p>
    <w:p w14:paraId="4FF67FAE" w14:textId="27C9CB6D" w:rsidR="00995FA3" w:rsidRDefault="00995FA3" w:rsidP="00995FA3">
      <w:pPr>
        <w:pStyle w:val="Presse-Fliesstext"/>
        <w:numPr>
          <w:ilvl w:val="0"/>
          <w:numId w:val="11"/>
        </w:numPr>
        <w:spacing w:after="0"/>
        <w:rPr>
          <w:lang w:val="fr-FR"/>
        </w:rPr>
      </w:pPr>
      <w:proofErr w:type="gramStart"/>
      <w:r w:rsidRPr="00995FA3">
        <w:rPr>
          <w:lang w:val="fr-FR"/>
        </w:rPr>
        <w:t>une</w:t>
      </w:r>
      <w:proofErr w:type="gramEnd"/>
      <w:r w:rsidRPr="00995FA3">
        <w:rPr>
          <w:lang w:val="fr-FR"/>
        </w:rPr>
        <w:t xml:space="preserve"> réduction des coûts grâce à un besoin minimal de pièces de rechange </w:t>
      </w:r>
      <w:r w:rsidR="00531C7D">
        <w:rPr>
          <w:lang w:val="fr-FR"/>
        </w:rPr>
        <w:t>pour</w:t>
      </w:r>
      <w:r w:rsidRPr="00995FA3">
        <w:rPr>
          <w:lang w:val="fr-FR"/>
        </w:rPr>
        <w:t xml:space="preserve"> un coût d'utilisation minimal</w:t>
      </w:r>
    </w:p>
    <w:p w14:paraId="30AAFCB2" w14:textId="77777777" w:rsidR="00431386" w:rsidRPr="00431386" w:rsidRDefault="00431386" w:rsidP="00431386">
      <w:pPr>
        <w:pStyle w:val="Presse-Fliesstext"/>
        <w:spacing w:after="0"/>
        <w:ind w:left="1429"/>
        <w:rPr>
          <w:sz w:val="10"/>
          <w:szCs w:val="12"/>
          <w:lang w:val="fr-FR"/>
        </w:rPr>
      </w:pPr>
    </w:p>
    <w:p w14:paraId="3A87B21B" w14:textId="1028F3DC" w:rsidR="00995FA3" w:rsidRPr="00995FA3" w:rsidRDefault="00995FA3" w:rsidP="00995FA3">
      <w:pPr>
        <w:pStyle w:val="Presse-Fliesstext"/>
        <w:numPr>
          <w:ilvl w:val="0"/>
          <w:numId w:val="11"/>
        </w:numPr>
        <w:spacing w:after="0"/>
        <w:rPr>
          <w:lang w:val="fr-FR"/>
        </w:rPr>
      </w:pPr>
      <w:proofErr w:type="gramStart"/>
      <w:r w:rsidRPr="00995FA3">
        <w:rPr>
          <w:lang w:val="fr-FR"/>
        </w:rPr>
        <w:t>une</w:t>
      </w:r>
      <w:proofErr w:type="gramEnd"/>
      <w:r w:rsidRPr="00995FA3">
        <w:rPr>
          <w:lang w:val="fr-FR"/>
        </w:rPr>
        <w:t xml:space="preserve"> facilité d’intégration dans des systèmes déjà existants</w:t>
      </w:r>
    </w:p>
    <w:p w14:paraId="5F89EF86" w14:textId="77777777" w:rsidR="00995FA3" w:rsidRPr="00995FA3" w:rsidRDefault="00995FA3" w:rsidP="00890B90">
      <w:pPr>
        <w:pStyle w:val="Subheadline"/>
        <w:rPr>
          <w:b w:val="0"/>
          <w:bCs/>
          <w:lang w:val="fr-FR"/>
        </w:rPr>
      </w:pPr>
    </w:p>
    <w:p w14:paraId="0510BE24" w14:textId="0E1FF7F2" w:rsidR="00995FA3" w:rsidRDefault="00995FA3" w:rsidP="00890B90">
      <w:pPr>
        <w:pStyle w:val="Subheadline"/>
        <w:rPr>
          <w:u w:val="single"/>
          <w:lang w:val="fr-FR"/>
        </w:rPr>
      </w:pPr>
    </w:p>
    <w:p w14:paraId="7B77BB27" w14:textId="3B53C8DF" w:rsidR="00995FA3" w:rsidRDefault="00995FA3" w:rsidP="00890B90">
      <w:pPr>
        <w:pStyle w:val="Subheadline"/>
        <w:rPr>
          <w:u w:val="single"/>
          <w:lang w:val="fr-FR"/>
        </w:rPr>
      </w:pPr>
    </w:p>
    <w:p w14:paraId="184DD6AD" w14:textId="7D315F25" w:rsidR="00995FA3" w:rsidRDefault="00995FA3" w:rsidP="00890B90">
      <w:pPr>
        <w:pStyle w:val="Subheadline"/>
        <w:rPr>
          <w:u w:val="single"/>
          <w:lang w:val="fr-FR"/>
        </w:rPr>
      </w:pPr>
    </w:p>
    <w:p w14:paraId="6A1C0666" w14:textId="502E6FEA" w:rsidR="00995FA3" w:rsidRDefault="00995FA3" w:rsidP="00890B90">
      <w:pPr>
        <w:pStyle w:val="Subheadline"/>
        <w:rPr>
          <w:u w:val="single"/>
          <w:lang w:val="fr-FR"/>
        </w:rPr>
      </w:pPr>
    </w:p>
    <w:p w14:paraId="20883D53" w14:textId="25A56069" w:rsidR="00995FA3" w:rsidRDefault="00995FA3" w:rsidP="00890B90">
      <w:pPr>
        <w:pStyle w:val="Subheadline"/>
        <w:rPr>
          <w:u w:val="single"/>
          <w:lang w:val="fr-FR"/>
        </w:rPr>
      </w:pPr>
    </w:p>
    <w:p w14:paraId="54706C04" w14:textId="77ECC76A" w:rsidR="00995FA3" w:rsidRDefault="00995FA3" w:rsidP="00890B90">
      <w:pPr>
        <w:pStyle w:val="Subheadline"/>
        <w:rPr>
          <w:u w:val="single"/>
          <w:lang w:val="fr-FR"/>
        </w:rPr>
      </w:pPr>
    </w:p>
    <w:p w14:paraId="51AB3846" w14:textId="309ABE8E" w:rsidR="00995FA3" w:rsidRDefault="00995FA3" w:rsidP="00890B90">
      <w:pPr>
        <w:pStyle w:val="Subheadline"/>
        <w:rPr>
          <w:u w:val="single"/>
          <w:lang w:val="fr-FR"/>
        </w:rPr>
      </w:pPr>
    </w:p>
    <w:p w14:paraId="3B8D215B" w14:textId="30457CBF" w:rsidR="00995FA3" w:rsidRDefault="00995FA3" w:rsidP="00890B90">
      <w:pPr>
        <w:pStyle w:val="Subheadline"/>
        <w:rPr>
          <w:u w:val="single"/>
          <w:lang w:val="fr-FR"/>
        </w:rPr>
      </w:pPr>
    </w:p>
    <w:p w14:paraId="74CF794F" w14:textId="566DC84E" w:rsidR="00995FA3" w:rsidRDefault="00995FA3" w:rsidP="00890B90">
      <w:pPr>
        <w:pStyle w:val="Subheadline"/>
        <w:rPr>
          <w:u w:val="single"/>
          <w:lang w:val="fr-FR"/>
        </w:rPr>
      </w:pPr>
    </w:p>
    <w:p w14:paraId="18842DD2" w14:textId="61B3CBBA" w:rsidR="00995FA3" w:rsidRDefault="008915D7" w:rsidP="00890B90">
      <w:pPr>
        <w:pStyle w:val="Subheadline"/>
        <w:rPr>
          <w:u w:val="single"/>
          <w:lang w:val="fr-FR"/>
        </w:rPr>
      </w:pPr>
      <w:r>
        <w:rPr>
          <w:noProof/>
        </w:rPr>
        <w:lastRenderedPageBreak/>
        <w:drawing>
          <wp:inline distT="0" distB="0" distL="0" distR="0" wp14:anchorId="499B7EDA" wp14:editId="6D5E5AB1">
            <wp:extent cx="5523266" cy="3279514"/>
            <wp:effectExtent l="19050" t="19050" r="20320" b="165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23266" cy="3279514"/>
                    </a:xfrm>
                    <a:prstGeom prst="rect">
                      <a:avLst/>
                    </a:prstGeom>
                    <a:ln>
                      <a:solidFill>
                        <a:schemeClr val="accent1"/>
                      </a:solidFill>
                    </a:ln>
                  </pic:spPr>
                </pic:pic>
              </a:graphicData>
            </a:graphic>
          </wp:inline>
        </w:drawing>
      </w:r>
    </w:p>
    <w:p w14:paraId="73A058F5" w14:textId="6981A58A" w:rsidR="00995FA3" w:rsidRDefault="00995FA3" w:rsidP="00890B90">
      <w:pPr>
        <w:pStyle w:val="Subheadline"/>
        <w:rPr>
          <w:u w:val="single"/>
          <w:lang w:val="fr-FR"/>
        </w:rPr>
      </w:pPr>
    </w:p>
    <w:p w14:paraId="2DB886C3" w14:textId="1B16A256" w:rsidR="00995FA3" w:rsidRDefault="00995FA3" w:rsidP="00890B90">
      <w:pPr>
        <w:pStyle w:val="Subheadline"/>
        <w:rPr>
          <w:u w:val="single"/>
          <w:lang w:val="fr-FR"/>
        </w:rPr>
      </w:pPr>
    </w:p>
    <w:p w14:paraId="4E5E7942" w14:textId="195EC5C6" w:rsidR="00995FA3" w:rsidRPr="00995FA3" w:rsidRDefault="00995FA3" w:rsidP="00890B90">
      <w:pPr>
        <w:pStyle w:val="Subheadline"/>
        <w:rPr>
          <w:b w:val="0"/>
          <w:bCs/>
          <w:lang w:val="fr-FR"/>
        </w:rPr>
      </w:pPr>
    </w:p>
    <w:p w14:paraId="058440E0" w14:textId="13769DBA" w:rsidR="00995FA3" w:rsidRDefault="00995FA3" w:rsidP="00995FA3">
      <w:pPr>
        <w:pStyle w:val="Presse-Fliesstext"/>
        <w:spacing w:after="0"/>
        <w:rPr>
          <w:lang w:val="fr-FR"/>
        </w:rPr>
      </w:pPr>
      <w:r w:rsidRPr="00995FA3">
        <w:rPr>
          <w:lang w:val="fr-FR"/>
        </w:rPr>
        <w:t>Les clients de ViscoTec sont enthousiastes : "</w:t>
      </w:r>
      <w:r w:rsidRPr="00DB0571">
        <w:rPr>
          <w:i/>
          <w:iCs/>
          <w:lang w:val="fr-FR"/>
        </w:rPr>
        <w:t xml:space="preserve">Le système de dosage n'a pas dû être recalibré une </w:t>
      </w:r>
      <w:r w:rsidR="00DB0571">
        <w:rPr>
          <w:i/>
          <w:iCs/>
          <w:lang w:val="fr-FR"/>
        </w:rPr>
        <w:t xml:space="preserve">seule </w:t>
      </w:r>
      <w:r w:rsidRPr="00DB0571">
        <w:rPr>
          <w:i/>
          <w:iCs/>
          <w:lang w:val="fr-FR"/>
        </w:rPr>
        <w:t xml:space="preserve">fois au cours d'une année </w:t>
      </w:r>
      <w:r w:rsidR="00156241" w:rsidRPr="00DB0571">
        <w:rPr>
          <w:i/>
          <w:iCs/>
          <w:lang w:val="fr-FR"/>
        </w:rPr>
        <w:t xml:space="preserve">complète </w:t>
      </w:r>
      <w:r w:rsidRPr="00DB0571">
        <w:rPr>
          <w:i/>
          <w:iCs/>
          <w:lang w:val="fr-FR"/>
        </w:rPr>
        <w:t>de production afin de compenser</w:t>
      </w:r>
      <w:r w:rsidR="00156241">
        <w:rPr>
          <w:i/>
          <w:iCs/>
          <w:lang w:val="fr-FR"/>
        </w:rPr>
        <w:t xml:space="preserve"> </w:t>
      </w:r>
      <w:r w:rsidR="00C24F88">
        <w:rPr>
          <w:i/>
          <w:iCs/>
          <w:lang w:val="fr-FR"/>
        </w:rPr>
        <w:t xml:space="preserve">une </w:t>
      </w:r>
      <w:r w:rsidRPr="00DB0571">
        <w:rPr>
          <w:i/>
          <w:iCs/>
          <w:lang w:val="fr-FR"/>
        </w:rPr>
        <w:t>usure éventuelle</w:t>
      </w:r>
      <w:r w:rsidRPr="00995FA3">
        <w:rPr>
          <w:lang w:val="fr-FR"/>
        </w:rPr>
        <w:t>".</w:t>
      </w:r>
    </w:p>
    <w:p w14:paraId="3240C252" w14:textId="77777777" w:rsidR="00995FA3" w:rsidRPr="00995FA3" w:rsidRDefault="00995FA3" w:rsidP="00995FA3">
      <w:pPr>
        <w:pStyle w:val="Presse-Fliesstext"/>
        <w:spacing w:after="0"/>
        <w:rPr>
          <w:lang w:val="fr-FR"/>
        </w:rPr>
      </w:pPr>
    </w:p>
    <w:p w14:paraId="63D60CE0" w14:textId="16E0F099" w:rsidR="00995FA3" w:rsidRPr="00995FA3" w:rsidRDefault="00995FA3" w:rsidP="00995FA3">
      <w:pPr>
        <w:pStyle w:val="Presse-Fliesstext"/>
        <w:spacing w:after="0"/>
        <w:rPr>
          <w:lang w:val="fr-FR"/>
        </w:rPr>
      </w:pPr>
      <w:r w:rsidRPr="00995FA3">
        <w:rPr>
          <w:lang w:val="fr-FR"/>
        </w:rPr>
        <w:t xml:space="preserve">L'objectif de ViscoTec a donc été atteint à 100 % : la meilleure qualité pour une plus grande fiabilité des process et, par conséquent, des clients satisfaits. Un avantage pour </w:t>
      </w:r>
      <w:r w:rsidR="00B2253A">
        <w:rPr>
          <w:lang w:val="fr-FR"/>
        </w:rPr>
        <w:t>tout le monde</w:t>
      </w:r>
      <w:r w:rsidRPr="00995FA3">
        <w:rPr>
          <w:lang w:val="fr-FR"/>
        </w:rPr>
        <w:t>.</w:t>
      </w:r>
    </w:p>
    <w:p w14:paraId="416844FB" w14:textId="582B3AAE" w:rsidR="00995FA3" w:rsidRPr="00995FA3" w:rsidRDefault="00995FA3" w:rsidP="00995FA3">
      <w:pPr>
        <w:pStyle w:val="Presse-Fliesstext"/>
        <w:spacing w:after="0"/>
        <w:rPr>
          <w:lang w:val="fr-FR"/>
        </w:rPr>
      </w:pPr>
    </w:p>
    <w:p w14:paraId="107BD102" w14:textId="77777777" w:rsidR="00995FA3" w:rsidRPr="00995FA3" w:rsidRDefault="00995FA3" w:rsidP="00890B90">
      <w:pPr>
        <w:pStyle w:val="Subheadline"/>
        <w:rPr>
          <w:u w:val="single"/>
          <w:lang w:val="fr-FR"/>
        </w:rPr>
      </w:pPr>
    </w:p>
    <w:p w14:paraId="0C67C294" w14:textId="2B6A8413" w:rsidR="00890B90" w:rsidRPr="00A94C81" w:rsidRDefault="00746C0A" w:rsidP="00890B90">
      <w:pPr>
        <w:pStyle w:val="Subheadline"/>
        <w:rPr>
          <w:lang w:val="fr-FR"/>
        </w:rPr>
      </w:pPr>
      <w:r w:rsidRPr="00A94C81">
        <w:rPr>
          <w:u w:val="single"/>
          <w:lang w:val="fr-FR"/>
        </w:rPr>
        <w:t>Images</w:t>
      </w:r>
      <w:r w:rsidR="00DB0571">
        <w:rPr>
          <w:u w:val="single"/>
          <w:lang w:val="fr-FR"/>
        </w:rPr>
        <w:t xml:space="preserve"> </w:t>
      </w:r>
      <w:r w:rsidR="00890B90" w:rsidRPr="00A94C81">
        <w:rPr>
          <w:lang w:val="fr-FR"/>
        </w:rPr>
        <w:t>:</w:t>
      </w:r>
    </w:p>
    <w:p w14:paraId="3A6EA479" w14:textId="22479FC4" w:rsidR="00890B90" w:rsidRPr="00A94C81" w:rsidRDefault="00890B90" w:rsidP="00890B90">
      <w:pPr>
        <w:rPr>
          <w:lang w:val="fr-FR"/>
        </w:rPr>
      </w:pPr>
    </w:p>
    <w:p w14:paraId="78986F22" w14:textId="77777777" w:rsidR="00995FA3" w:rsidRPr="00007652" w:rsidRDefault="00995FA3" w:rsidP="00995FA3">
      <w:pPr>
        <w:spacing w:before="100" w:beforeAutospacing="1" w:after="100" w:afterAutospacing="1"/>
        <w:rPr>
          <w:rFonts w:ascii="Calibri" w:eastAsia="Calibri" w:hAnsi="Calibri" w:cs="Calibri"/>
          <w:lang w:val="fr-FR" w:eastAsia="fr-FR"/>
        </w:rPr>
      </w:pPr>
      <w:r w:rsidRPr="00726778">
        <w:rPr>
          <w:rFonts w:ascii="Calibri" w:eastAsia="Calibri" w:hAnsi="Calibri" w:cs="Calibri"/>
          <w:noProof/>
          <w:lang w:eastAsia="fr-FR"/>
        </w:rPr>
        <w:drawing>
          <wp:inline distT="0" distB="0" distL="0" distR="0" wp14:anchorId="6A041DCF" wp14:editId="24B0DC26">
            <wp:extent cx="1542415" cy="1025525"/>
            <wp:effectExtent l="19050" t="19050" r="19685" b="222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2415" cy="1025525"/>
                    </a:xfrm>
                    <a:prstGeom prst="rect">
                      <a:avLst/>
                    </a:prstGeom>
                    <a:noFill/>
                    <a:ln>
                      <a:solidFill>
                        <a:schemeClr val="accent1"/>
                      </a:solidFill>
                    </a:ln>
                  </pic:spPr>
                </pic:pic>
              </a:graphicData>
            </a:graphic>
          </wp:inline>
        </w:drawing>
      </w:r>
      <w:r w:rsidRPr="00007652">
        <w:rPr>
          <w:rFonts w:ascii="Calibri" w:eastAsia="Calibri" w:hAnsi="Calibri" w:cs="Calibri"/>
          <w:lang w:val="fr-FR" w:eastAsia="fr-FR"/>
        </w:rPr>
        <w:t xml:space="preserve">  </w:t>
      </w:r>
      <w:r w:rsidRPr="00726778">
        <w:rPr>
          <w:rFonts w:ascii="Calibri" w:eastAsia="Calibri" w:hAnsi="Calibri" w:cs="Calibri"/>
          <w:noProof/>
          <w:lang w:eastAsia="fr-FR"/>
        </w:rPr>
        <w:drawing>
          <wp:inline distT="0" distB="0" distL="0" distR="0" wp14:anchorId="67855040" wp14:editId="347F8120">
            <wp:extent cx="1534795" cy="1017905"/>
            <wp:effectExtent l="19050" t="19050" r="27305" b="1079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34795" cy="1017905"/>
                    </a:xfrm>
                    <a:prstGeom prst="rect">
                      <a:avLst/>
                    </a:prstGeom>
                    <a:noFill/>
                    <a:ln>
                      <a:solidFill>
                        <a:schemeClr val="accent1"/>
                      </a:solidFill>
                    </a:ln>
                  </pic:spPr>
                </pic:pic>
              </a:graphicData>
            </a:graphic>
          </wp:inline>
        </w:drawing>
      </w:r>
    </w:p>
    <w:p w14:paraId="0AEC64AA" w14:textId="2E3B660F" w:rsidR="00995FA3" w:rsidRPr="00995FA3" w:rsidRDefault="00995FA3" w:rsidP="00995FA3">
      <w:pPr>
        <w:spacing w:before="100" w:beforeAutospacing="1" w:after="100" w:afterAutospacing="1"/>
        <w:rPr>
          <w:rFonts w:ascii="Calibri" w:eastAsia="Calibri" w:hAnsi="Calibri" w:cs="Calibri"/>
          <w:lang w:val="fr-FR" w:eastAsia="fr-FR"/>
        </w:rPr>
      </w:pPr>
      <w:r w:rsidRPr="00E772AA">
        <w:rPr>
          <w:rFonts w:ascii="Calibri" w:eastAsia="Calibri" w:hAnsi="Calibri" w:cs="Calibri"/>
          <w:sz w:val="18"/>
          <w:szCs w:val="18"/>
          <w:lang w:val="fr-FR" w:eastAsia="fr-FR"/>
        </w:rPr>
        <w:t xml:space="preserve">Le nouveau rotor en céramique pour la série de </w:t>
      </w:r>
      <w:r w:rsidR="00522D55" w:rsidRPr="00E772AA">
        <w:rPr>
          <w:rFonts w:ascii="Calibri" w:eastAsia="Calibri" w:hAnsi="Calibri" w:cs="Calibri"/>
          <w:sz w:val="18"/>
          <w:szCs w:val="18"/>
          <w:lang w:val="fr-FR" w:eastAsia="fr-FR"/>
        </w:rPr>
        <w:t>doseurs</w:t>
      </w:r>
      <w:r w:rsidRPr="00E772AA">
        <w:rPr>
          <w:rFonts w:ascii="Calibri" w:eastAsia="Calibri" w:hAnsi="Calibri" w:cs="Calibri"/>
          <w:sz w:val="18"/>
          <w:szCs w:val="18"/>
          <w:lang w:val="fr-FR" w:eastAsia="fr-FR"/>
        </w:rPr>
        <w:t xml:space="preserve"> RD de ViscoTec</w:t>
      </w:r>
      <w:r w:rsidRPr="00995FA3">
        <w:rPr>
          <w:rFonts w:ascii="Calibri" w:eastAsia="Calibri" w:hAnsi="Calibri" w:cs="Calibri"/>
          <w:sz w:val="16"/>
          <w:szCs w:val="16"/>
          <w:lang w:val="fr-FR" w:eastAsia="fr-FR"/>
        </w:rPr>
        <w:br/>
      </w:r>
      <w:r w:rsidRPr="00995FA3">
        <w:rPr>
          <w:rFonts w:ascii="Calibri" w:eastAsia="Calibri" w:hAnsi="Calibri" w:cs="Calibri"/>
          <w:lang w:val="fr-FR" w:eastAsia="fr-FR"/>
        </w:rPr>
        <w:t> </w:t>
      </w:r>
    </w:p>
    <w:p w14:paraId="29DE843B" w14:textId="77777777" w:rsidR="00995FA3" w:rsidRPr="00726778" w:rsidRDefault="00995FA3" w:rsidP="00995FA3">
      <w:pPr>
        <w:spacing w:before="100" w:beforeAutospacing="1" w:after="100" w:afterAutospacing="1"/>
        <w:rPr>
          <w:rFonts w:ascii="Calibri" w:eastAsia="Calibri" w:hAnsi="Calibri" w:cs="Calibri"/>
          <w:lang w:eastAsia="fr-FR"/>
        </w:rPr>
      </w:pPr>
      <w:r w:rsidRPr="00726778">
        <w:rPr>
          <w:rFonts w:ascii="Calibri" w:eastAsia="Calibri" w:hAnsi="Calibri" w:cs="Calibri"/>
          <w:noProof/>
          <w:lang w:eastAsia="fr-FR"/>
        </w:rPr>
        <w:lastRenderedPageBreak/>
        <w:drawing>
          <wp:inline distT="0" distB="0" distL="0" distR="0" wp14:anchorId="2D6B01FE" wp14:editId="286D4042">
            <wp:extent cx="1009650" cy="1438910"/>
            <wp:effectExtent l="19050" t="19050" r="19050" b="2794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09650" cy="1438910"/>
                    </a:xfrm>
                    <a:prstGeom prst="rect">
                      <a:avLst/>
                    </a:prstGeom>
                    <a:noFill/>
                    <a:ln>
                      <a:solidFill>
                        <a:schemeClr val="accent1"/>
                      </a:solidFill>
                    </a:ln>
                  </pic:spPr>
                </pic:pic>
              </a:graphicData>
            </a:graphic>
          </wp:inline>
        </w:drawing>
      </w:r>
    </w:p>
    <w:p w14:paraId="5883A74B" w14:textId="1F5FBDB1" w:rsidR="00995FA3" w:rsidRPr="00995FA3" w:rsidRDefault="00995FA3" w:rsidP="00995FA3">
      <w:pPr>
        <w:spacing w:before="100" w:beforeAutospacing="1" w:after="100" w:afterAutospacing="1"/>
        <w:rPr>
          <w:rFonts w:ascii="Calibri" w:eastAsia="Calibri" w:hAnsi="Calibri" w:cs="Calibri"/>
          <w:lang w:val="fr-FR" w:eastAsia="fr-FR"/>
        </w:rPr>
      </w:pPr>
      <w:r w:rsidRPr="00E772AA">
        <w:rPr>
          <w:rFonts w:ascii="Calibri" w:eastAsia="Calibri" w:hAnsi="Calibri" w:cs="Calibri"/>
          <w:sz w:val="18"/>
          <w:szCs w:val="18"/>
          <w:lang w:val="fr-FR" w:eastAsia="fr-FR"/>
        </w:rPr>
        <w:t xml:space="preserve">Application d'un composé de transfert de chaleur très abrasif avec le </w:t>
      </w:r>
      <w:r w:rsidR="00522D55" w:rsidRPr="00E772AA">
        <w:rPr>
          <w:rFonts w:ascii="Calibri" w:eastAsia="Calibri" w:hAnsi="Calibri" w:cs="Calibri"/>
          <w:sz w:val="18"/>
          <w:szCs w:val="18"/>
          <w:lang w:val="fr-FR" w:eastAsia="fr-FR"/>
        </w:rPr>
        <w:t>doseur</w:t>
      </w:r>
      <w:r w:rsidRPr="00E772AA">
        <w:rPr>
          <w:rFonts w:ascii="Calibri" w:eastAsia="Calibri" w:hAnsi="Calibri" w:cs="Calibri"/>
          <w:sz w:val="18"/>
          <w:szCs w:val="18"/>
          <w:lang w:val="fr-FR" w:eastAsia="fr-FR"/>
        </w:rPr>
        <w:t xml:space="preserve"> ViscoTec RD</w:t>
      </w:r>
      <w:r w:rsidRPr="00995FA3">
        <w:rPr>
          <w:rFonts w:ascii="Calibri" w:eastAsia="Calibri" w:hAnsi="Calibri" w:cs="Calibri"/>
          <w:sz w:val="16"/>
          <w:szCs w:val="16"/>
          <w:lang w:val="fr-FR" w:eastAsia="fr-FR"/>
        </w:rPr>
        <w:br/>
        <w:t> </w:t>
      </w:r>
    </w:p>
    <w:p w14:paraId="4DB5DC9C" w14:textId="77777777" w:rsidR="00995FA3" w:rsidRPr="00726778" w:rsidRDefault="00995FA3" w:rsidP="00995FA3">
      <w:pPr>
        <w:spacing w:before="100" w:beforeAutospacing="1" w:after="100" w:afterAutospacing="1"/>
        <w:rPr>
          <w:rFonts w:ascii="Calibri" w:eastAsia="Calibri" w:hAnsi="Calibri" w:cs="Calibri"/>
          <w:lang w:eastAsia="fr-FR"/>
        </w:rPr>
      </w:pPr>
      <w:r w:rsidRPr="00726778">
        <w:rPr>
          <w:rFonts w:ascii="Calibri" w:eastAsia="Calibri" w:hAnsi="Calibri" w:cs="Calibri"/>
          <w:noProof/>
          <w:lang w:eastAsia="fr-FR"/>
        </w:rPr>
        <w:drawing>
          <wp:inline distT="0" distB="0" distL="0" distR="0" wp14:anchorId="6E7DF819" wp14:editId="755C50EF">
            <wp:extent cx="1073150" cy="1526540"/>
            <wp:effectExtent l="19050" t="19050" r="12700" b="1651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3150" cy="1526540"/>
                    </a:xfrm>
                    <a:prstGeom prst="rect">
                      <a:avLst/>
                    </a:prstGeom>
                    <a:noFill/>
                    <a:ln>
                      <a:solidFill>
                        <a:schemeClr val="accent1"/>
                      </a:solidFill>
                    </a:ln>
                  </pic:spPr>
                </pic:pic>
              </a:graphicData>
            </a:graphic>
          </wp:inline>
        </w:drawing>
      </w:r>
    </w:p>
    <w:p w14:paraId="54DD29E2" w14:textId="058D8C14" w:rsidR="00995FA3" w:rsidRPr="00007652" w:rsidRDefault="00995FA3" w:rsidP="00995FA3">
      <w:pPr>
        <w:spacing w:before="100" w:beforeAutospacing="1" w:after="100" w:afterAutospacing="1"/>
        <w:rPr>
          <w:rFonts w:ascii="Calibri" w:eastAsia="Calibri" w:hAnsi="Calibri" w:cs="Calibri"/>
          <w:lang w:val="fr-FR" w:eastAsia="fr-FR"/>
        </w:rPr>
      </w:pPr>
      <w:r w:rsidRPr="00E772AA">
        <w:rPr>
          <w:rFonts w:ascii="Calibri" w:eastAsia="Calibri" w:hAnsi="Calibri" w:cs="Calibri"/>
          <w:sz w:val="18"/>
          <w:szCs w:val="18"/>
          <w:lang w:val="fr-FR" w:eastAsia="fr-FR"/>
        </w:rPr>
        <w:t xml:space="preserve">Application d'un mastic d'isolation thermique </w:t>
      </w:r>
      <w:r w:rsidR="00522D55" w:rsidRPr="00E772AA">
        <w:rPr>
          <w:rFonts w:ascii="Calibri" w:eastAsia="Calibri" w:hAnsi="Calibri" w:cs="Calibri"/>
          <w:sz w:val="18"/>
          <w:szCs w:val="18"/>
          <w:lang w:val="fr-FR" w:eastAsia="fr-FR"/>
        </w:rPr>
        <w:t xml:space="preserve">bi-composants </w:t>
      </w:r>
      <w:r w:rsidRPr="00E772AA">
        <w:rPr>
          <w:rFonts w:ascii="Calibri" w:eastAsia="Calibri" w:hAnsi="Calibri" w:cs="Calibri"/>
          <w:sz w:val="18"/>
          <w:szCs w:val="18"/>
          <w:lang w:val="fr-FR" w:eastAsia="fr-FR"/>
        </w:rPr>
        <w:t xml:space="preserve">2K avec </w:t>
      </w:r>
      <w:r w:rsidR="00522D55" w:rsidRPr="00E772AA">
        <w:rPr>
          <w:rFonts w:ascii="Calibri" w:eastAsia="Calibri" w:hAnsi="Calibri" w:cs="Calibri"/>
          <w:sz w:val="18"/>
          <w:szCs w:val="18"/>
          <w:lang w:val="fr-FR" w:eastAsia="fr-FR"/>
        </w:rPr>
        <w:t xml:space="preserve">le </w:t>
      </w:r>
      <w:r w:rsidRPr="00E772AA">
        <w:rPr>
          <w:rFonts w:ascii="Calibri" w:eastAsia="Calibri" w:hAnsi="Calibri" w:cs="Calibri"/>
          <w:sz w:val="18"/>
          <w:szCs w:val="18"/>
          <w:lang w:val="fr-FR" w:eastAsia="fr-FR"/>
        </w:rPr>
        <w:t>ViscoTec DUO VM</w:t>
      </w:r>
      <w:r w:rsidRPr="00E772AA">
        <w:rPr>
          <w:rFonts w:ascii="Calibri" w:eastAsia="Calibri" w:hAnsi="Calibri" w:cs="Calibri"/>
          <w:sz w:val="18"/>
          <w:szCs w:val="18"/>
          <w:lang w:val="fr-FR" w:eastAsia="fr-FR"/>
        </w:rPr>
        <w:br/>
      </w:r>
    </w:p>
    <w:p w14:paraId="3532A4D7" w14:textId="75706A4A" w:rsidR="007609D0" w:rsidRDefault="00995FA3" w:rsidP="00DB0571">
      <w:pPr>
        <w:spacing w:before="100" w:beforeAutospacing="1" w:after="100" w:afterAutospacing="1"/>
        <w:rPr>
          <w:lang w:val="fr-FR"/>
        </w:rPr>
      </w:pPr>
      <w:r w:rsidRPr="00007652">
        <w:rPr>
          <w:rFonts w:ascii="Calibri" w:eastAsia="Calibri" w:hAnsi="Calibri" w:cs="Calibri"/>
          <w:sz w:val="16"/>
          <w:szCs w:val="16"/>
          <w:lang w:val="fr-FR" w:eastAsia="fr-FR"/>
        </w:rPr>
        <w:t> </w:t>
      </w:r>
      <w:r w:rsidR="007609D0">
        <w:rPr>
          <w:lang w:val="fr-FR"/>
        </w:rPr>
        <w:t>ViscoTec – Le dosage à la perfection !</w:t>
      </w:r>
    </w:p>
    <w:p w14:paraId="72EAA2DF" w14:textId="77777777" w:rsidR="007609D0" w:rsidRDefault="007609D0" w:rsidP="007609D0">
      <w:pPr>
        <w:spacing w:line="360" w:lineRule="auto"/>
        <w:rPr>
          <w:rFonts w:cs="Arial"/>
          <w:b/>
          <w:lang w:val="fr-FR"/>
        </w:rPr>
      </w:pPr>
    </w:p>
    <w:p w14:paraId="2E772BE4" w14:textId="77777777" w:rsidR="007609D0" w:rsidRDefault="007609D0" w:rsidP="007609D0">
      <w:pPr>
        <w:rPr>
          <w:lang w:val="fr-FR"/>
        </w:rPr>
      </w:pPr>
      <w:r>
        <w:rPr>
          <w:lang w:val="fr-FR"/>
        </w:rPr>
        <w:t xml:space="preserve">ViscoTec </w:t>
      </w:r>
      <w:proofErr w:type="spellStart"/>
      <w:r>
        <w:rPr>
          <w:lang w:val="fr-FR"/>
        </w:rPr>
        <w:t>Pumpen</w:t>
      </w:r>
      <w:proofErr w:type="spellEnd"/>
      <w:r>
        <w:rPr>
          <w:lang w:val="fr-FR"/>
        </w:rPr>
        <w:t xml:space="preserve">- u. </w:t>
      </w:r>
      <w:proofErr w:type="spellStart"/>
      <w:r>
        <w:rPr>
          <w:lang w:val="fr-FR"/>
        </w:rPr>
        <w:t>Dosiertechnik</w:t>
      </w:r>
      <w:proofErr w:type="spellEnd"/>
      <w:r>
        <w:rPr>
          <w:lang w:val="fr-FR"/>
        </w:rPr>
        <w:t xml:space="preserve"> GmbH fabrique des systèmes nécessaires au pompage, au dosage, à l'application, au remplissage et au prélèvement de fluides de viscosité moyenne à </w:t>
      </w:r>
      <w:proofErr w:type="spellStart"/>
      <w:r>
        <w:rPr>
          <w:lang w:val="fr-FR"/>
        </w:rPr>
        <w:t>élevée</w:t>
      </w:r>
      <w:proofErr w:type="spellEnd"/>
      <w:r>
        <w:rPr>
          <w:lang w:val="fr-FR"/>
        </w:rPr>
        <w:t xml:space="preserve">. Le leader technologique a son siège à </w:t>
      </w:r>
      <w:proofErr w:type="spellStart"/>
      <w:r>
        <w:rPr>
          <w:lang w:val="fr-FR"/>
        </w:rPr>
        <w:t>Töging</w:t>
      </w:r>
      <w:proofErr w:type="spellEnd"/>
      <w:r>
        <w:rPr>
          <w:lang w:val="fr-FR"/>
        </w:rPr>
        <w:t xml:space="preserve"> a. Inn (en Bavière, près de Munich). ViscoTec possède également des filiales aux USA, en Chine, à Singapour, en Inde et en France et emploie environ 260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Pr>
          <w:lang w:val="fr-FR"/>
        </w:rPr>
        <w:t>mPas</w:t>
      </w:r>
      <w:proofErr w:type="spellEnd"/>
      <w:r>
        <w:rPr>
          <w:lang w:val="fr-FR"/>
        </w:rPr>
        <w:t>, sont pompées et dosées pratiquement sans pulsation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électromobilité, aéronautique, technologie médicale, industrie pharmaceutique et de nombreux autres secteurs.</w:t>
      </w:r>
    </w:p>
    <w:p w14:paraId="0BB75103" w14:textId="77777777" w:rsidR="00F074B2" w:rsidRPr="007609D0" w:rsidRDefault="00F074B2" w:rsidP="00F074B2">
      <w:pPr>
        <w:rPr>
          <w:rFonts w:cs="Arial"/>
          <w:lang w:val="fr-FR"/>
        </w:rPr>
      </w:pPr>
    </w:p>
    <w:p w14:paraId="12ABA361" w14:textId="77777777" w:rsidR="00F074B2" w:rsidRPr="007609D0" w:rsidRDefault="00F074B2" w:rsidP="00C60AD4">
      <w:pPr>
        <w:spacing w:line="360" w:lineRule="auto"/>
        <w:ind w:right="1273"/>
        <w:rPr>
          <w:rFonts w:cs="Arial"/>
          <w:lang w:val="fr-FR"/>
        </w:rPr>
      </w:pPr>
    </w:p>
    <w:p w14:paraId="4C317161" w14:textId="3F6F83E8" w:rsidR="00F322FF" w:rsidRPr="00F322FF" w:rsidRDefault="00F322FF" w:rsidP="00F322FF">
      <w:pPr>
        <w:pStyle w:val="StandardWeb"/>
        <w:rPr>
          <w:rFonts w:cs="Arial"/>
          <w:b/>
          <w:bCs/>
          <w:lang w:val="en-US"/>
        </w:rPr>
      </w:pPr>
      <w:r>
        <w:rPr>
          <w:rFonts w:cs="Arial"/>
          <w:b/>
          <w:bCs/>
          <w:lang w:val="en-US"/>
        </w:rPr>
        <w:t>Contact Presse</w:t>
      </w:r>
      <w:r w:rsidRPr="00F322FF">
        <w:rPr>
          <w:rFonts w:cs="Arial"/>
          <w:b/>
          <w:bCs/>
          <w:lang w:val="en-US"/>
        </w:rPr>
        <w:t>:</w:t>
      </w:r>
    </w:p>
    <w:p w14:paraId="1FD76C55" w14:textId="77777777" w:rsidR="00F322FF" w:rsidRPr="00F322FF" w:rsidRDefault="00F322FF" w:rsidP="00F322FF">
      <w:pPr>
        <w:pStyle w:val="StandardWeb"/>
        <w:rPr>
          <w:rFonts w:cs="Arial"/>
          <w:lang w:val="en-US"/>
        </w:rPr>
      </w:pPr>
      <w:r w:rsidRPr="00F322FF">
        <w:rPr>
          <w:rFonts w:cs="Arial"/>
          <w:lang w:val="en-US"/>
        </w:rPr>
        <w:t>Melanie Hintereder, Marketing</w:t>
      </w:r>
    </w:p>
    <w:p w14:paraId="2663C768" w14:textId="77777777" w:rsidR="00F322FF" w:rsidRPr="00F322FF" w:rsidRDefault="00F322FF" w:rsidP="00F322FF">
      <w:pPr>
        <w:pStyle w:val="StandardWeb"/>
        <w:rPr>
          <w:rFonts w:cs="Arial"/>
          <w:lang w:val="en-US"/>
        </w:rPr>
      </w:pPr>
      <w:r w:rsidRPr="00F322FF">
        <w:rPr>
          <w:rFonts w:cs="Arial"/>
          <w:lang w:val="en-US"/>
        </w:rPr>
        <w:t>Phone: +49 8631 9274-404</w:t>
      </w:r>
    </w:p>
    <w:p w14:paraId="5CE5A20B" w14:textId="77777777" w:rsidR="00F322FF" w:rsidRPr="00F322FF" w:rsidRDefault="008915D7" w:rsidP="00F322FF">
      <w:pPr>
        <w:pStyle w:val="StandardWeb"/>
        <w:rPr>
          <w:rFonts w:cs="Arial"/>
          <w:lang w:val="en-US"/>
        </w:rPr>
      </w:pPr>
      <w:hyperlink r:id="rId16" w:history="1">
        <w:r w:rsidR="00F322FF" w:rsidRPr="00F322FF">
          <w:rPr>
            <w:rStyle w:val="Hyperlink"/>
            <w:rFonts w:cs="Arial"/>
            <w:lang w:val="en-US"/>
          </w:rPr>
          <w:t>melanie.hintereder@viscotec.de</w:t>
        </w:r>
      </w:hyperlink>
    </w:p>
    <w:p w14:paraId="708661DA" w14:textId="77777777" w:rsidR="00F322FF" w:rsidRPr="00F322FF" w:rsidRDefault="00F322FF" w:rsidP="00F322FF">
      <w:pPr>
        <w:pStyle w:val="StandardWeb"/>
        <w:spacing w:line="360" w:lineRule="auto"/>
        <w:ind w:right="1273"/>
        <w:rPr>
          <w:rFonts w:cs="Arial"/>
          <w:lang w:val="en-US"/>
        </w:rPr>
      </w:pPr>
      <w:r w:rsidRPr="00F322FF">
        <w:rPr>
          <w:rFonts w:cs="Arial"/>
          <w:lang w:val="en-US"/>
        </w:rPr>
        <w:lastRenderedPageBreak/>
        <w:t> </w:t>
      </w:r>
    </w:p>
    <w:p w14:paraId="6E64CA93" w14:textId="34243545" w:rsidR="00F322FF" w:rsidRDefault="00F322FF" w:rsidP="00F322FF">
      <w:pPr>
        <w:pStyle w:val="StandardWeb"/>
        <w:rPr>
          <w:rStyle w:val="Fett"/>
          <w:rFonts w:cs="Arial"/>
          <w:lang w:val="en-US"/>
        </w:rPr>
      </w:pPr>
      <w:r w:rsidRPr="00F322FF">
        <w:rPr>
          <w:rStyle w:val="Fett"/>
          <w:rFonts w:cs="Arial"/>
          <w:lang w:val="en-US"/>
        </w:rPr>
        <w:t> </w:t>
      </w:r>
    </w:p>
    <w:p w14:paraId="6C1C77AC" w14:textId="77777777" w:rsidR="00F322FF" w:rsidRPr="00F322FF" w:rsidRDefault="00F322FF" w:rsidP="00F322FF">
      <w:pPr>
        <w:pStyle w:val="StandardWeb"/>
        <w:rPr>
          <w:rFonts w:cs="Arial"/>
          <w:lang w:val="en-US"/>
        </w:rPr>
      </w:pPr>
    </w:p>
    <w:p w14:paraId="2BBC5646" w14:textId="77777777" w:rsidR="00F322FF" w:rsidRPr="00F322FF" w:rsidRDefault="00F322FF" w:rsidP="00F322FF">
      <w:pPr>
        <w:pStyle w:val="StandardWeb"/>
        <w:rPr>
          <w:rFonts w:cs="Arial"/>
          <w:lang w:val="en-US"/>
        </w:rPr>
      </w:pPr>
      <w:r w:rsidRPr="00F322FF">
        <w:rPr>
          <w:rStyle w:val="Fett"/>
          <w:rFonts w:cs="Arial"/>
          <w:lang w:val="en-US"/>
        </w:rPr>
        <w:t>ViscoTec America Inc.</w:t>
      </w:r>
      <w:r w:rsidRPr="00F322FF">
        <w:rPr>
          <w:rFonts w:cs="Arial"/>
          <w:b/>
          <w:bCs/>
          <w:lang w:val="en-US"/>
        </w:rPr>
        <w:br/>
      </w:r>
      <w:r w:rsidRPr="00F322FF">
        <w:rPr>
          <w:rFonts w:cs="Arial"/>
          <w:lang w:val="en-US"/>
        </w:rPr>
        <w:t>1955 Vaughn Road, Suite 209 | Kennesaw, GA 30144 | USA</w:t>
      </w:r>
      <w:r w:rsidRPr="00F322FF">
        <w:rPr>
          <w:rFonts w:cs="Arial"/>
          <w:lang w:val="en-US"/>
        </w:rPr>
        <w:br/>
      </w:r>
      <w:hyperlink r:id="rId17" w:history="1">
        <w:r w:rsidRPr="00F322FF">
          <w:rPr>
            <w:rStyle w:val="Hyperlink"/>
            <w:rFonts w:cs="Arial"/>
            <w:lang w:val="en-US"/>
          </w:rPr>
          <w:t>www.viscotec-america.com</w:t>
        </w:r>
      </w:hyperlink>
    </w:p>
    <w:p w14:paraId="7346926B" w14:textId="77777777" w:rsidR="00F322FF" w:rsidRPr="00F322FF" w:rsidRDefault="00F322FF" w:rsidP="00F322FF">
      <w:pPr>
        <w:pStyle w:val="StandardWeb"/>
        <w:rPr>
          <w:rFonts w:cs="Arial"/>
          <w:lang w:val="en-US"/>
        </w:rPr>
      </w:pPr>
      <w:r w:rsidRPr="00F322FF">
        <w:rPr>
          <w:rFonts w:cs="Arial"/>
          <w:lang w:val="en-US"/>
        </w:rPr>
        <w:t> </w:t>
      </w:r>
    </w:p>
    <w:p w14:paraId="756C0EA6" w14:textId="77777777" w:rsidR="00F322FF" w:rsidRPr="00F322FF" w:rsidRDefault="00F322FF" w:rsidP="00F322FF">
      <w:pPr>
        <w:pStyle w:val="StandardWeb"/>
        <w:rPr>
          <w:rFonts w:cs="Arial"/>
          <w:lang w:val="en-US"/>
        </w:rPr>
      </w:pPr>
      <w:r w:rsidRPr="00F322FF">
        <w:rPr>
          <w:rStyle w:val="Fett"/>
          <w:rFonts w:cs="Arial"/>
          <w:lang w:val="en-US"/>
        </w:rPr>
        <w:t>ViscoTec Asia Pte Ltd</w:t>
      </w:r>
      <w:r w:rsidRPr="00F322FF">
        <w:rPr>
          <w:rFonts w:cs="Arial"/>
          <w:b/>
          <w:bCs/>
          <w:lang w:val="en-US"/>
        </w:rPr>
        <w:br/>
      </w:r>
      <w:r w:rsidRPr="00F322FF">
        <w:rPr>
          <w:rFonts w:cs="Arial"/>
          <w:lang w:val="en-US"/>
        </w:rPr>
        <w:t>7 Gambas Crescent | #09-38, Ark @ Gambas | Singapore 757087 | Singapore</w:t>
      </w:r>
      <w:r w:rsidRPr="00F322FF">
        <w:rPr>
          <w:rFonts w:cs="Arial"/>
          <w:lang w:val="en-US"/>
        </w:rPr>
        <w:br/>
      </w:r>
      <w:hyperlink r:id="rId18" w:history="1">
        <w:r w:rsidRPr="00F322FF">
          <w:rPr>
            <w:rStyle w:val="Hyperlink"/>
            <w:rFonts w:cs="Arial"/>
            <w:lang w:val="en-US"/>
          </w:rPr>
          <w:t>www.viscotec-asia.com</w:t>
        </w:r>
      </w:hyperlink>
    </w:p>
    <w:p w14:paraId="4D7AF934" w14:textId="77777777" w:rsidR="00F322FF" w:rsidRPr="00F322FF" w:rsidRDefault="00F322FF" w:rsidP="00F322FF">
      <w:pPr>
        <w:pStyle w:val="StandardWeb"/>
        <w:rPr>
          <w:rFonts w:cs="Arial"/>
          <w:lang w:val="en-US"/>
        </w:rPr>
      </w:pPr>
      <w:r w:rsidRPr="00F322FF">
        <w:rPr>
          <w:rFonts w:cs="Arial"/>
          <w:lang w:val="en-US"/>
        </w:rPr>
        <w:t> </w:t>
      </w:r>
    </w:p>
    <w:p w14:paraId="01B72652" w14:textId="77777777" w:rsidR="00F322FF" w:rsidRPr="00F322FF" w:rsidRDefault="00F322FF" w:rsidP="00F322FF">
      <w:pPr>
        <w:pStyle w:val="StandardWeb"/>
        <w:rPr>
          <w:rFonts w:cs="Arial"/>
          <w:lang w:val="en-US"/>
        </w:rPr>
      </w:pPr>
      <w:r w:rsidRPr="00F322FF">
        <w:rPr>
          <w:rStyle w:val="Fett"/>
          <w:rFonts w:cs="Arial"/>
          <w:lang w:val="en-US"/>
        </w:rPr>
        <w:t>ViscoTec Shanghai Ltd. / Greater China</w:t>
      </w:r>
      <w:r w:rsidRPr="00F322FF">
        <w:rPr>
          <w:rFonts w:cs="Arial"/>
          <w:b/>
          <w:bCs/>
          <w:lang w:val="en-US"/>
        </w:rPr>
        <w:br/>
      </w:r>
      <w:r w:rsidRPr="00F322FF">
        <w:rPr>
          <w:rFonts w:cs="Arial"/>
          <w:lang w:val="en-US"/>
        </w:rPr>
        <w:t xml:space="preserve">1/F, BLK 18, City of Elite | No. 1000 </w:t>
      </w:r>
      <w:proofErr w:type="spellStart"/>
      <w:r w:rsidRPr="00F322FF">
        <w:rPr>
          <w:rFonts w:cs="Arial"/>
          <w:lang w:val="en-US"/>
        </w:rPr>
        <w:t>Jin</w:t>
      </w:r>
      <w:proofErr w:type="spellEnd"/>
      <w:r w:rsidRPr="00F322FF">
        <w:rPr>
          <w:rFonts w:cs="Arial"/>
          <w:lang w:val="en-US"/>
        </w:rPr>
        <w:t xml:space="preserve"> Hai Road, Pudong</w:t>
      </w:r>
      <w:r w:rsidRPr="00F322FF">
        <w:rPr>
          <w:rFonts w:cs="Arial"/>
          <w:lang w:val="en-US"/>
        </w:rPr>
        <w:br/>
        <w:t>Shanghai, 201206 | P.R. China</w:t>
      </w:r>
    </w:p>
    <w:p w14:paraId="6A45D6E0" w14:textId="77777777" w:rsidR="00F322FF" w:rsidRPr="00F322FF" w:rsidRDefault="008915D7" w:rsidP="00F322FF">
      <w:pPr>
        <w:pStyle w:val="StandardWeb"/>
        <w:rPr>
          <w:rFonts w:cs="Arial"/>
          <w:lang w:val="en-US"/>
        </w:rPr>
      </w:pPr>
      <w:hyperlink r:id="rId19" w:history="1">
        <w:r w:rsidR="00F322FF" w:rsidRPr="00F322FF">
          <w:rPr>
            <w:rStyle w:val="Hyperlink"/>
            <w:rFonts w:cs="Arial"/>
            <w:lang w:val="en-US"/>
          </w:rPr>
          <w:t>www.viscotec.com.cn</w:t>
        </w:r>
      </w:hyperlink>
    </w:p>
    <w:p w14:paraId="14514D56" w14:textId="77777777" w:rsidR="00F322FF" w:rsidRPr="00F322FF" w:rsidRDefault="00F322FF" w:rsidP="00F322FF">
      <w:pPr>
        <w:pStyle w:val="StandardWeb"/>
        <w:rPr>
          <w:rFonts w:cs="Arial"/>
          <w:lang w:val="en-US"/>
        </w:rPr>
      </w:pPr>
      <w:r w:rsidRPr="00F322FF">
        <w:rPr>
          <w:rFonts w:cs="Arial"/>
          <w:lang w:val="en-US"/>
        </w:rPr>
        <w:t> </w:t>
      </w:r>
    </w:p>
    <w:p w14:paraId="0E108D53" w14:textId="77777777" w:rsidR="00F322FF" w:rsidRPr="00F322FF" w:rsidRDefault="00F322FF" w:rsidP="00F322FF">
      <w:pPr>
        <w:pStyle w:val="StandardWeb"/>
        <w:rPr>
          <w:rFonts w:cs="Arial"/>
          <w:lang w:val="en-US"/>
        </w:rPr>
      </w:pPr>
      <w:r w:rsidRPr="00F322FF">
        <w:rPr>
          <w:rStyle w:val="Fett"/>
          <w:rFonts w:cs="Arial"/>
          <w:lang w:val="en-US"/>
        </w:rPr>
        <w:t>ViscoTec India Pvt. Ltd.</w:t>
      </w:r>
      <w:r w:rsidRPr="00F322FF">
        <w:rPr>
          <w:rFonts w:cs="Arial"/>
          <w:lang w:val="en-US"/>
        </w:rPr>
        <w:br/>
        <w:t>710 Nucleus Mall, 1 Church Road Pune | Pune 411001 | India</w:t>
      </w:r>
      <w:r w:rsidRPr="00F322FF">
        <w:rPr>
          <w:rFonts w:cs="Arial"/>
          <w:lang w:val="en-US"/>
        </w:rPr>
        <w:br/>
      </w:r>
      <w:hyperlink r:id="rId20" w:history="1">
        <w:r w:rsidRPr="00F322FF">
          <w:rPr>
            <w:rStyle w:val="Hyperlink"/>
            <w:rFonts w:cs="Arial"/>
            <w:lang w:val="en-US"/>
          </w:rPr>
          <w:t>www.viscotec-india.com</w:t>
        </w:r>
      </w:hyperlink>
    </w:p>
    <w:p w14:paraId="2C0A5BA8" w14:textId="77777777" w:rsidR="00F322FF" w:rsidRPr="00F322FF" w:rsidRDefault="00F322FF" w:rsidP="00F322FF">
      <w:pPr>
        <w:pStyle w:val="StandardWeb"/>
        <w:rPr>
          <w:rFonts w:cs="Arial"/>
          <w:lang w:val="en-US"/>
        </w:rPr>
      </w:pPr>
      <w:r w:rsidRPr="00F322FF">
        <w:rPr>
          <w:rFonts w:cs="Arial"/>
          <w:lang w:val="en-US"/>
        </w:rPr>
        <w:t> </w:t>
      </w:r>
    </w:p>
    <w:p w14:paraId="246AFFD8" w14:textId="77777777" w:rsidR="00F322FF" w:rsidRPr="00F322FF" w:rsidRDefault="00F322FF" w:rsidP="00F322FF">
      <w:pPr>
        <w:pStyle w:val="StandardWeb"/>
        <w:rPr>
          <w:rFonts w:cs="Arial"/>
          <w:lang w:val="fr-FR"/>
        </w:rPr>
      </w:pPr>
      <w:r w:rsidRPr="00F322FF">
        <w:rPr>
          <w:rStyle w:val="Fett"/>
          <w:rFonts w:cs="Arial"/>
          <w:lang w:val="fr-FR"/>
        </w:rPr>
        <w:t>ViscoTec France SASU</w:t>
      </w:r>
      <w:r w:rsidRPr="00F322FF">
        <w:rPr>
          <w:rFonts w:cs="Arial"/>
          <w:lang w:val="fr-FR"/>
        </w:rPr>
        <w:br/>
        <w:t>5 Avenue Henri Becquerel, Parc Activité Kennedy | 33700 Mérignac | France</w:t>
      </w:r>
      <w:r w:rsidRPr="00F322FF">
        <w:rPr>
          <w:rFonts w:cs="Arial"/>
          <w:lang w:val="fr-FR"/>
        </w:rPr>
        <w:br/>
      </w:r>
      <w:hyperlink r:id="rId21" w:history="1">
        <w:r w:rsidRPr="00F322FF">
          <w:rPr>
            <w:rStyle w:val="Hyperlink"/>
            <w:rFonts w:cs="Arial"/>
            <w:lang w:val="fr-FR"/>
          </w:rPr>
          <w:t>www.viscotec.fr</w:t>
        </w:r>
      </w:hyperlink>
    </w:p>
    <w:p w14:paraId="37E5C3B5" w14:textId="77777777" w:rsidR="00F322FF" w:rsidRPr="00F322FF" w:rsidRDefault="00F322FF" w:rsidP="00F322FF">
      <w:pPr>
        <w:pStyle w:val="StandardWeb"/>
        <w:rPr>
          <w:rFonts w:cs="Arial"/>
          <w:lang w:val="fr-FR"/>
        </w:rPr>
      </w:pPr>
      <w:r w:rsidRPr="00F322FF">
        <w:rPr>
          <w:rFonts w:cs="Arial"/>
          <w:lang w:val="fr-FR"/>
        </w:rPr>
        <w:t> </w:t>
      </w:r>
    </w:p>
    <w:p w14:paraId="6FBAAD0B" w14:textId="620A42FF" w:rsidR="00F322FF" w:rsidRPr="00F322FF" w:rsidRDefault="00F322FF" w:rsidP="00CF5D0F">
      <w:pPr>
        <w:pStyle w:val="StandardWeb"/>
        <w:rPr>
          <w:lang w:val="fr-FR"/>
        </w:rPr>
      </w:pPr>
      <w:r w:rsidRPr="00F322FF">
        <w:rPr>
          <w:rFonts w:cs="Arial"/>
          <w:lang w:val="fr-FR"/>
        </w:rPr>
        <w:t> </w:t>
      </w:r>
    </w:p>
    <w:sectPr w:rsidR="00F322FF" w:rsidRPr="00F322FF" w:rsidSect="004B3830">
      <w:headerReference w:type="default" r:id="rId22"/>
      <w:footerReference w:type="even" r:id="rId23"/>
      <w:footerReference w:type="default" r:id="rId2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AFC741" w14:textId="77777777" w:rsidR="00C85F4A" w:rsidRDefault="00C85F4A">
      <w:r>
        <w:separator/>
      </w:r>
    </w:p>
  </w:endnote>
  <w:endnote w:type="continuationSeparator" w:id="0">
    <w:p w14:paraId="6A99E313" w14:textId="77777777" w:rsidR="00C85F4A" w:rsidRDefault="00C8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7EEA8" w14:textId="77777777" w:rsidR="00551F5B" w:rsidRDefault="00551F5B">
    <w:pPr>
      <w:pStyle w:val="Fuzeile"/>
    </w:pPr>
  </w:p>
  <w:p w14:paraId="0DEB578F" w14:textId="77777777" w:rsidR="00551F5B" w:rsidRDefault="00551F5B"/>
  <w:p w14:paraId="188AC917" w14:textId="77777777" w:rsidR="00551F5B" w:rsidRDefault="00551F5B"/>
  <w:p w14:paraId="1F513D6A"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003FF" w14:textId="77777777" w:rsidR="003976F5" w:rsidRDefault="003976F5" w:rsidP="003976F5">
    <w:pPr>
      <w:tabs>
        <w:tab w:val="left" w:pos="3261"/>
      </w:tabs>
      <w:rPr>
        <w:rFonts w:cs="Arial"/>
        <w:noProof/>
        <w:sz w:val="14"/>
        <w:szCs w:val="14"/>
      </w:rPr>
    </w:pPr>
  </w:p>
  <w:p w14:paraId="57B62C0C"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9D2B7F3" wp14:editId="03E7D68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58EE78A3">
            <v:line id="Gerader Verbinder 2"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dde4f0" from=".3pt,.95pt" to="500.55pt,.95pt" w14:anchorId="1D6985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v:stroke joinstyle="miter"/>
            </v:line>
          </w:pict>
        </mc:Fallback>
      </mc:AlternateContent>
    </w:r>
  </w:p>
  <w:p w14:paraId="02C49D1B" w14:textId="77777777" w:rsidR="00B266CD" w:rsidRDefault="00B266CD" w:rsidP="003976F5">
    <w:pPr>
      <w:tabs>
        <w:tab w:val="left" w:pos="3261"/>
      </w:tabs>
      <w:rPr>
        <w:rFonts w:cs="Arial"/>
        <w:noProof/>
        <w:sz w:val="14"/>
        <w:szCs w:val="14"/>
      </w:rPr>
    </w:pPr>
  </w:p>
  <w:p w14:paraId="4BCBD8FE"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C3631">
      <w:rPr>
        <w:rFonts w:cs="Arial"/>
        <w:noProof/>
        <w:sz w:val="14"/>
        <w:szCs w:val="14"/>
      </w:rPr>
      <w:t>08</w:t>
    </w:r>
    <w:r>
      <w:rPr>
        <w:rFonts w:cs="Arial"/>
        <w:noProof/>
        <w:sz w:val="14"/>
        <w:szCs w:val="14"/>
      </w:rPr>
      <w:t>.0</w:t>
    </w:r>
    <w:r w:rsidR="007C3631">
      <w:rPr>
        <w:rFonts w:cs="Arial"/>
        <w:noProof/>
        <w:sz w:val="14"/>
        <w:szCs w:val="14"/>
      </w:rPr>
      <w:t>1</w:t>
    </w:r>
    <w:r>
      <w:rPr>
        <w:rFonts w:cs="Arial"/>
        <w:noProof/>
        <w:sz w:val="14"/>
        <w:szCs w:val="14"/>
      </w:rPr>
      <w:t>.20</w:t>
    </w:r>
    <w:r w:rsidR="007C3631">
      <w:rPr>
        <w:rFonts w:cs="Arial"/>
        <w:noProof/>
        <w:sz w:val="14"/>
        <w:szCs w:val="14"/>
      </w:rPr>
      <w:t>20</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6506D5A" w14:textId="77777777" w:rsidR="00AE2DD9" w:rsidRDefault="00AE2DD9" w:rsidP="003976F5">
    <w:pPr>
      <w:tabs>
        <w:tab w:val="left" w:pos="450"/>
        <w:tab w:val="left" w:pos="3261"/>
        <w:tab w:val="left" w:pos="5954"/>
        <w:tab w:val="left" w:pos="8789"/>
      </w:tabs>
      <w:rPr>
        <w:rFonts w:cs="Arial"/>
        <w:b/>
        <w:noProof/>
        <w:sz w:val="14"/>
        <w:szCs w:val="14"/>
      </w:rPr>
    </w:pPr>
  </w:p>
  <w:p w14:paraId="368007D0"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68B8828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974C905" w14:textId="77777777" w:rsidR="004B3830" w:rsidRDefault="004B3830" w:rsidP="00DB594E">
    <w:pPr>
      <w:tabs>
        <w:tab w:val="left" w:pos="3261"/>
      </w:tabs>
      <w:rPr>
        <w:rFonts w:cs="Arial"/>
        <w:noProof/>
        <w:color w:val="7F7F7F"/>
        <w:sz w:val="16"/>
        <w:szCs w:val="16"/>
      </w:rPr>
    </w:pPr>
  </w:p>
  <w:p w14:paraId="605072F8"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D8BDAD" w14:textId="77777777" w:rsidR="00C85F4A" w:rsidRDefault="00C85F4A">
      <w:r>
        <w:separator/>
      </w:r>
    </w:p>
  </w:footnote>
  <w:footnote w:type="continuationSeparator" w:id="0">
    <w:p w14:paraId="70D787C4" w14:textId="77777777" w:rsidR="00C85F4A" w:rsidRDefault="00C8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E9BC2"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560EEAB" wp14:editId="02B0F5CF">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FA480E" w14:textId="77777777" w:rsidR="00DB594E" w:rsidRDefault="00DB594E">
    <w:pPr>
      <w:rPr>
        <w:rFonts w:cs="Arial"/>
        <w:sz w:val="16"/>
        <w:szCs w:val="16"/>
      </w:rPr>
    </w:pPr>
  </w:p>
  <w:p w14:paraId="16AB0E1D"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48D4BF3"/>
    <w:multiLevelType w:val="hybridMultilevel"/>
    <w:tmpl w:val="25B4B990"/>
    <w:lvl w:ilvl="0" w:tplc="B2D87F74">
      <w:numFmt w:val="bullet"/>
      <w:lvlText w:val=""/>
      <w:lvlJc w:val="left"/>
      <w:pPr>
        <w:ind w:left="1069" w:hanging="360"/>
      </w:pPr>
      <w:rPr>
        <w:rFonts w:ascii="Symbol" w:eastAsia="Times New Roman" w:hAnsi="Symbol"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6AAA3889"/>
    <w:multiLevelType w:val="hybridMultilevel"/>
    <w:tmpl w:val="63960918"/>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44A"/>
    <w:rsid w:val="000023E1"/>
    <w:rsid w:val="0000359E"/>
    <w:rsid w:val="000109DF"/>
    <w:rsid w:val="00012C68"/>
    <w:rsid w:val="00031C83"/>
    <w:rsid w:val="00036722"/>
    <w:rsid w:val="00060FDA"/>
    <w:rsid w:val="000818E9"/>
    <w:rsid w:val="0008235A"/>
    <w:rsid w:val="000857E6"/>
    <w:rsid w:val="00085A89"/>
    <w:rsid w:val="00092C13"/>
    <w:rsid w:val="000937BB"/>
    <w:rsid w:val="000964E5"/>
    <w:rsid w:val="000A1016"/>
    <w:rsid w:val="000C311C"/>
    <w:rsid w:val="000C5A6A"/>
    <w:rsid w:val="000C6345"/>
    <w:rsid w:val="000D3761"/>
    <w:rsid w:val="000D7F60"/>
    <w:rsid w:val="000E1648"/>
    <w:rsid w:val="000E2BA7"/>
    <w:rsid w:val="000F5ED8"/>
    <w:rsid w:val="00106078"/>
    <w:rsid w:val="00121A1C"/>
    <w:rsid w:val="00121DC3"/>
    <w:rsid w:val="00125C7C"/>
    <w:rsid w:val="00130F23"/>
    <w:rsid w:val="001417AF"/>
    <w:rsid w:val="00150577"/>
    <w:rsid w:val="00156241"/>
    <w:rsid w:val="00170EF2"/>
    <w:rsid w:val="00181A8E"/>
    <w:rsid w:val="001827BA"/>
    <w:rsid w:val="00186D5A"/>
    <w:rsid w:val="00194215"/>
    <w:rsid w:val="001A3B6A"/>
    <w:rsid w:val="001A6E43"/>
    <w:rsid w:val="001C24FD"/>
    <w:rsid w:val="001C7585"/>
    <w:rsid w:val="001D0523"/>
    <w:rsid w:val="001D6B8F"/>
    <w:rsid w:val="001D73C3"/>
    <w:rsid w:val="001D760F"/>
    <w:rsid w:val="001E03C1"/>
    <w:rsid w:val="001E381D"/>
    <w:rsid w:val="001E6A49"/>
    <w:rsid w:val="001F3160"/>
    <w:rsid w:val="001F356B"/>
    <w:rsid w:val="001F50FC"/>
    <w:rsid w:val="001F520D"/>
    <w:rsid w:val="002145DD"/>
    <w:rsid w:val="00215813"/>
    <w:rsid w:val="00216B65"/>
    <w:rsid w:val="0022390C"/>
    <w:rsid w:val="00231DB1"/>
    <w:rsid w:val="00241136"/>
    <w:rsid w:val="00252E53"/>
    <w:rsid w:val="00253587"/>
    <w:rsid w:val="002647B4"/>
    <w:rsid w:val="00270FE7"/>
    <w:rsid w:val="002710DE"/>
    <w:rsid w:val="002737E7"/>
    <w:rsid w:val="002756FA"/>
    <w:rsid w:val="002823B0"/>
    <w:rsid w:val="00290CE6"/>
    <w:rsid w:val="002920EF"/>
    <w:rsid w:val="00293C22"/>
    <w:rsid w:val="00294735"/>
    <w:rsid w:val="002972B9"/>
    <w:rsid w:val="00297513"/>
    <w:rsid w:val="002A0986"/>
    <w:rsid w:val="002A6B8B"/>
    <w:rsid w:val="002B01DF"/>
    <w:rsid w:val="002B2120"/>
    <w:rsid w:val="002B507B"/>
    <w:rsid w:val="002D0802"/>
    <w:rsid w:val="002D5CC1"/>
    <w:rsid w:val="002E0C7D"/>
    <w:rsid w:val="002E2147"/>
    <w:rsid w:val="002E3F09"/>
    <w:rsid w:val="002F0B9B"/>
    <w:rsid w:val="002F1753"/>
    <w:rsid w:val="002F4234"/>
    <w:rsid w:val="0030053C"/>
    <w:rsid w:val="00301B89"/>
    <w:rsid w:val="0030370D"/>
    <w:rsid w:val="0031128D"/>
    <w:rsid w:val="00317406"/>
    <w:rsid w:val="00322B2F"/>
    <w:rsid w:val="0033216B"/>
    <w:rsid w:val="00353DCC"/>
    <w:rsid w:val="0035618E"/>
    <w:rsid w:val="00361A90"/>
    <w:rsid w:val="00366EF8"/>
    <w:rsid w:val="003721DE"/>
    <w:rsid w:val="0037310C"/>
    <w:rsid w:val="00390802"/>
    <w:rsid w:val="00393D26"/>
    <w:rsid w:val="003976F5"/>
    <w:rsid w:val="00397B89"/>
    <w:rsid w:val="003A086F"/>
    <w:rsid w:val="003A3631"/>
    <w:rsid w:val="003D073D"/>
    <w:rsid w:val="003D224A"/>
    <w:rsid w:val="003D606D"/>
    <w:rsid w:val="003E4DB6"/>
    <w:rsid w:val="003F5976"/>
    <w:rsid w:val="00401BBD"/>
    <w:rsid w:val="004023F4"/>
    <w:rsid w:val="00406A7D"/>
    <w:rsid w:val="004111B1"/>
    <w:rsid w:val="00426AC8"/>
    <w:rsid w:val="00431386"/>
    <w:rsid w:val="00431F7F"/>
    <w:rsid w:val="00436FDA"/>
    <w:rsid w:val="00441FBB"/>
    <w:rsid w:val="00454676"/>
    <w:rsid w:val="00465D3B"/>
    <w:rsid w:val="00473102"/>
    <w:rsid w:val="00475C5D"/>
    <w:rsid w:val="00485E1A"/>
    <w:rsid w:val="004901BF"/>
    <w:rsid w:val="00496C06"/>
    <w:rsid w:val="004A28F1"/>
    <w:rsid w:val="004A6CA8"/>
    <w:rsid w:val="004B3830"/>
    <w:rsid w:val="004C0FD4"/>
    <w:rsid w:val="004C6A67"/>
    <w:rsid w:val="004C76AB"/>
    <w:rsid w:val="004D28CF"/>
    <w:rsid w:val="004D715B"/>
    <w:rsid w:val="004E0B84"/>
    <w:rsid w:val="004F398D"/>
    <w:rsid w:val="004F5700"/>
    <w:rsid w:val="005019C4"/>
    <w:rsid w:val="00502176"/>
    <w:rsid w:val="0050281D"/>
    <w:rsid w:val="005075EC"/>
    <w:rsid w:val="005102BF"/>
    <w:rsid w:val="00513156"/>
    <w:rsid w:val="00522D55"/>
    <w:rsid w:val="0052307D"/>
    <w:rsid w:val="00531C7D"/>
    <w:rsid w:val="00532998"/>
    <w:rsid w:val="00533C74"/>
    <w:rsid w:val="00534826"/>
    <w:rsid w:val="00535911"/>
    <w:rsid w:val="005363AD"/>
    <w:rsid w:val="00536667"/>
    <w:rsid w:val="00551F5B"/>
    <w:rsid w:val="005566EC"/>
    <w:rsid w:val="0055684E"/>
    <w:rsid w:val="005624D6"/>
    <w:rsid w:val="00562844"/>
    <w:rsid w:val="005726B7"/>
    <w:rsid w:val="00583CC5"/>
    <w:rsid w:val="0058577D"/>
    <w:rsid w:val="00586ADD"/>
    <w:rsid w:val="005A5BAB"/>
    <w:rsid w:val="005B5081"/>
    <w:rsid w:val="005C2903"/>
    <w:rsid w:val="005C3B8E"/>
    <w:rsid w:val="005C73F5"/>
    <w:rsid w:val="005D7E04"/>
    <w:rsid w:val="005F2038"/>
    <w:rsid w:val="005F4715"/>
    <w:rsid w:val="005F5262"/>
    <w:rsid w:val="006046D0"/>
    <w:rsid w:val="00605FE6"/>
    <w:rsid w:val="00611CE1"/>
    <w:rsid w:val="00614B6D"/>
    <w:rsid w:val="00615DEA"/>
    <w:rsid w:val="00615FFE"/>
    <w:rsid w:val="0061700A"/>
    <w:rsid w:val="006172FE"/>
    <w:rsid w:val="0062736B"/>
    <w:rsid w:val="0062759D"/>
    <w:rsid w:val="006536F5"/>
    <w:rsid w:val="00656FBE"/>
    <w:rsid w:val="00662573"/>
    <w:rsid w:val="00671EB4"/>
    <w:rsid w:val="006739F0"/>
    <w:rsid w:val="0067792A"/>
    <w:rsid w:val="006A24D0"/>
    <w:rsid w:val="006B0FE6"/>
    <w:rsid w:val="006B3573"/>
    <w:rsid w:val="006B6F5E"/>
    <w:rsid w:val="006C2656"/>
    <w:rsid w:val="006C675A"/>
    <w:rsid w:val="006D05FE"/>
    <w:rsid w:val="006E552A"/>
    <w:rsid w:val="006E644A"/>
    <w:rsid w:val="006F198C"/>
    <w:rsid w:val="00711926"/>
    <w:rsid w:val="00711B73"/>
    <w:rsid w:val="00715D9A"/>
    <w:rsid w:val="00721738"/>
    <w:rsid w:val="00735290"/>
    <w:rsid w:val="00735BD6"/>
    <w:rsid w:val="0073733A"/>
    <w:rsid w:val="00746C0A"/>
    <w:rsid w:val="007475B9"/>
    <w:rsid w:val="007561F9"/>
    <w:rsid w:val="007602BD"/>
    <w:rsid w:val="00760510"/>
    <w:rsid w:val="007609D0"/>
    <w:rsid w:val="00761EAD"/>
    <w:rsid w:val="007670CA"/>
    <w:rsid w:val="00773ED5"/>
    <w:rsid w:val="00774AFF"/>
    <w:rsid w:val="0077677A"/>
    <w:rsid w:val="007801B1"/>
    <w:rsid w:val="007824A4"/>
    <w:rsid w:val="00785116"/>
    <w:rsid w:val="0078636A"/>
    <w:rsid w:val="00786F97"/>
    <w:rsid w:val="007A36D5"/>
    <w:rsid w:val="007B0AD8"/>
    <w:rsid w:val="007C0DED"/>
    <w:rsid w:val="007C1D15"/>
    <w:rsid w:val="007C3631"/>
    <w:rsid w:val="007C4DB2"/>
    <w:rsid w:val="007C7F33"/>
    <w:rsid w:val="007D232F"/>
    <w:rsid w:val="007D59A1"/>
    <w:rsid w:val="007E7837"/>
    <w:rsid w:val="007F592F"/>
    <w:rsid w:val="007F738F"/>
    <w:rsid w:val="00814DD8"/>
    <w:rsid w:val="00815F00"/>
    <w:rsid w:val="0083310B"/>
    <w:rsid w:val="00836975"/>
    <w:rsid w:val="00836C68"/>
    <w:rsid w:val="00872280"/>
    <w:rsid w:val="00873107"/>
    <w:rsid w:val="00881B09"/>
    <w:rsid w:val="00890B90"/>
    <w:rsid w:val="008915D7"/>
    <w:rsid w:val="008A0A07"/>
    <w:rsid w:val="008A36FE"/>
    <w:rsid w:val="008B14A5"/>
    <w:rsid w:val="008C0FD4"/>
    <w:rsid w:val="008D154F"/>
    <w:rsid w:val="008D667D"/>
    <w:rsid w:val="008D7E47"/>
    <w:rsid w:val="008F761B"/>
    <w:rsid w:val="00902AEF"/>
    <w:rsid w:val="00902E0A"/>
    <w:rsid w:val="00904BB2"/>
    <w:rsid w:val="00910AEB"/>
    <w:rsid w:val="009139CC"/>
    <w:rsid w:val="0092628F"/>
    <w:rsid w:val="0092644F"/>
    <w:rsid w:val="009465FA"/>
    <w:rsid w:val="009467AC"/>
    <w:rsid w:val="009513E0"/>
    <w:rsid w:val="009516EB"/>
    <w:rsid w:val="00955FB7"/>
    <w:rsid w:val="00965AEA"/>
    <w:rsid w:val="00965C70"/>
    <w:rsid w:val="009831D7"/>
    <w:rsid w:val="0098528E"/>
    <w:rsid w:val="0098581F"/>
    <w:rsid w:val="00985FB4"/>
    <w:rsid w:val="00986BE5"/>
    <w:rsid w:val="00995FA3"/>
    <w:rsid w:val="009A0BA0"/>
    <w:rsid w:val="009A5722"/>
    <w:rsid w:val="009A766C"/>
    <w:rsid w:val="009C00DC"/>
    <w:rsid w:val="009C1DFE"/>
    <w:rsid w:val="009D2A8B"/>
    <w:rsid w:val="009D2E29"/>
    <w:rsid w:val="009D4116"/>
    <w:rsid w:val="009E0D75"/>
    <w:rsid w:val="009E249C"/>
    <w:rsid w:val="009E68D4"/>
    <w:rsid w:val="009F40C0"/>
    <w:rsid w:val="009F51C7"/>
    <w:rsid w:val="00A06FB1"/>
    <w:rsid w:val="00A15EE2"/>
    <w:rsid w:val="00A16B40"/>
    <w:rsid w:val="00A214ED"/>
    <w:rsid w:val="00A233A3"/>
    <w:rsid w:val="00A318A9"/>
    <w:rsid w:val="00A50622"/>
    <w:rsid w:val="00A552E5"/>
    <w:rsid w:val="00A82FFA"/>
    <w:rsid w:val="00A92807"/>
    <w:rsid w:val="00A94C81"/>
    <w:rsid w:val="00AA1D41"/>
    <w:rsid w:val="00AA274E"/>
    <w:rsid w:val="00AB7A19"/>
    <w:rsid w:val="00AC65A4"/>
    <w:rsid w:val="00AC6C90"/>
    <w:rsid w:val="00AD3EFD"/>
    <w:rsid w:val="00AE1B22"/>
    <w:rsid w:val="00AE2DD9"/>
    <w:rsid w:val="00AE7F67"/>
    <w:rsid w:val="00B02F22"/>
    <w:rsid w:val="00B047D2"/>
    <w:rsid w:val="00B07030"/>
    <w:rsid w:val="00B102B1"/>
    <w:rsid w:val="00B11A1C"/>
    <w:rsid w:val="00B1330C"/>
    <w:rsid w:val="00B20A2F"/>
    <w:rsid w:val="00B2253A"/>
    <w:rsid w:val="00B25FD1"/>
    <w:rsid w:val="00B266CD"/>
    <w:rsid w:val="00B275C4"/>
    <w:rsid w:val="00B307C4"/>
    <w:rsid w:val="00B30813"/>
    <w:rsid w:val="00B41D41"/>
    <w:rsid w:val="00B42982"/>
    <w:rsid w:val="00B43A45"/>
    <w:rsid w:val="00B4419C"/>
    <w:rsid w:val="00B46136"/>
    <w:rsid w:val="00B505D4"/>
    <w:rsid w:val="00B51902"/>
    <w:rsid w:val="00B54AD0"/>
    <w:rsid w:val="00B61FBF"/>
    <w:rsid w:val="00B649A7"/>
    <w:rsid w:val="00B65DA7"/>
    <w:rsid w:val="00B81951"/>
    <w:rsid w:val="00B904F9"/>
    <w:rsid w:val="00B9622B"/>
    <w:rsid w:val="00BA1D89"/>
    <w:rsid w:val="00BC7E99"/>
    <w:rsid w:val="00BD5C6A"/>
    <w:rsid w:val="00BE3AD2"/>
    <w:rsid w:val="00BE6360"/>
    <w:rsid w:val="00BF1573"/>
    <w:rsid w:val="00BF37EF"/>
    <w:rsid w:val="00BF4E55"/>
    <w:rsid w:val="00C07B0A"/>
    <w:rsid w:val="00C11E6B"/>
    <w:rsid w:val="00C13A2D"/>
    <w:rsid w:val="00C14CBA"/>
    <w:rsid w:val="00C24F88"/>
    <w:rsid w:val="00C2579E"/>
    <w:rsid w:val="00C371C3"/>
    <w:rsid w:val="00C419B0"/>
    <w:rsid w:val="00C4324F"/>
    <w:rsid w:val="00C450E2"/>
    <w:rsid w:val="00C51027"/>
    <w:rsid w:val="00C570CE"/>
    <w:rsid w:val="00C60AD4"/>
    <w:rsid w:val="00C67124"/>
    <w:rsid w:val="00C733AE"/>
    <w:rsid w:val="00C85F4A"/>
    <w:rsid w:val="00C8683B"/>
    <w:rsid w:val="00C928C1"/>
    <w:rsid w:val="00CA12A5"/>
    <w:rsid w:val="00CA7D41"/>
    <w:rsid w:val="00CC119F"/>
    <w:rsid w:val="00CD2077"/>
    <w:rsid w:val="00CD2A89"/>
    <w:rsid w:val="00CD5602"/>
    <w:rsid w:val="00CE3AC9"/>
    <w:rsid w:val="00CE60B0"/>
    <w:rsid w:val="00CF5D0F"/>
    <w:rsid w:val="00CF5E36"/>
    <w:rsid w:val="00D002C7"/>
    <w:rsid w:val="00D01034"/>
    <w:rsid w:val="00D02CD0"/>
    <w:rsid w:val="00D02E03"/>
    <w:rsid w:val="00D15AAE"/>
    <w:rsid w:val="00D33DD0"/>
    <w:rsid w:val="00D37FA5"/>
    <w:rsid w:val="00D5135B"/>
    <w:rsid w:val="00D600AA"/>
    <w:rsid w:val="00D60136"/>
    <w:rsid w:val="00D608FB"/>
    <w:rsid w:val="00D64379"/>
    <w:rsid w:val="00D857FD"/>
    <w:rsid w:val="00D86BA8"/>
    <w:rsid w:val="00D87BBF"/>
    <w:rsid w:val="00D91514"/>
    <w:rsid w:val="00D92E5D"/>
    <w:rsid w:val="00D94C64"/>
    <w:rsid w:val="00D95BA4"/>
    <w:rsid w:val="00D96389"/>
    <w:rsid w:val="00DB0571"/>
    <w:rsid w:val="00DB594E"/>
    <w:rsid w:val="00DD129A"/>
    <w:rsid w:val="00DE40A4"/>
    <w:rsid w:val="00DE5663"/>
    <w:rsid w:val="00DF3986"/>
    <w:rsid w:val="00DF7476"/>
    <w:rsid w:val="00E10EC9"/>
    <w:rsid w:val="00E16EB9"/>
    <w:rsid w:val="00E25260"/>
    <w:rsid w:val="00E54055"/>
    <w:rsid w:val="00E54663"/>
    <w:rsid w:val="00E66813"/>
    <w:rsid w:val="00E66E88"/>
    <w:rsid w:val="00E731C7"/>
    <w:rsid w:val="00E73B07"/>
    <w:rsid w:val="00E76D03"/>
    <w:rsid w:val="00E772AA"/>
    <w:rsid w:val="00E972A5"/>
    <w:rsid w:val="00EA7736"/>
    <w:rsid w:val="00EB6E86"/>
    <w:rsid w:val="00ED041C"/>
    <w:rsid w:val="00ED7FBF"/>
    <w:rsid w:val="00EE1DDC"/>
    <w:rsid w:val="00EF1FB8"/>
    <w:rsid w:val="00F00A0D"/>
    <w:rsid w:val="00F01ECB"/>
    <w:rsid w:val="00F0275E"/>
    <w:rsid w:val="00F049A2"/>
    <w:rsid w:val="00F074B2"/>
    <w:rsid w:val="00F109A3"/>
    <w:rsid w:val="00F1302B"/>
    <w:rsid w:val="00F13182"/>
    <w:rsid w:val="00F17042"/>
    <w:rsid w:val="00F21E8C"/>
    <w:rsid w:val="00F24C27"/>
    <w:rsid w:val="00F322FF"/>
    <w:rsid w:val="00F34DC7"/>
    <w:rsid w:val="00F44243"/>
    <w:rsid w:val="00F51631"/>
    <w:rsid w:val="00F5216C"/>
    <w:rsid w:val="00F6014F"/>
    <w:rsid w:val="00F60ED1"/>
    <w:rsid w:val="00F614D9"/>
    <w:rsid w:val="00F813D7"/>
    <w:rsid w:val="00F814A0"/>
    <w:rsid w:val="00F82042"/>
    <w:rsid w:val="00F84028"/>
    <w:rsid w:val="00F962EB"/>
    <w:rsid w:val="00FB7DCC"/>
    <w:rsid w:val="00FC02A9"/>
    <w:rsid w:val="00FD1A89"/>
    <w:rsid w:val="00FD4E90"/>
    <w:rsid w:val="00FD532C"/>
    <w:rsid w:val="00FE3801"/>
    <w:rsid w:val="00FE627E"/>
    <w:rsid w:val="00FF7596"/>
    <w:rsid w:val="3685354B"/>
    <w:rsid w:val="46FF96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88479E"/>
  <w15:chartTrackingRefBased/>
  <w15:docId w15:val="{7929F758-F79D-4E5A-9AC3-68F92F77C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qFormat/>
    <w:rsid w:val="000E2BA7"/>
    <w:rPr>
      <w:b/>
      <w:bCs/>
    </w:rPr>
  </w:style>
  <w:style w:type="character" w:styleId="Hervorhebung">
    <w:name w:val="Emphasis"/>
    <w:basedOn w:val="Absatz-Standardschriftart"/>
    <w:uiPriority w:val="20"/>
    <w:qFormat/>
    <w:rsid w:val="00746C0A"/>
    <w:rPr>
      <w:i/>
      <w:iCs/>
    </w:rPr>
  </w:style>
  <w:style w:type="character" w:styleId="NichtaufgelsteErwhnung">
    <w:name w:val="Unresolved Mention"/>
    <w:basedOn w:val="Absatz-Standardschriftart"/>
    <w:uiPriority w:val="99"/>
    <w:semiHidden/>
    <w:unhideWhenUsed/>
    <w:rsid w:val="00F322FF"/>
    <w:rPr>
      <w:color w:val="605E5C"/>
      <w:shd w:val="clear" w:color="auto" w:fill="E1DFDD"/>
    </w:rPr>
  </w:style>
  <w:style w:type="paragraph" w:styleId="Listenabsatz">
    <w:name w:val="List Paragraph"/>
    <w:basedOn w:val="Standard"/>
    <w:uiPriority w:val="34"/>
    <w:rsid w:val="004313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644775729">
      <w:bodyDiv w:val="1"/>
      <w:marLeft w:val="0"/>
      <w:marRight w:val="0"/>
      <w:marTop w:val="0"/>
      <w:marBottom w:val="0"/>
      <w:divBdr>
        <w:top w:val="none" w:sz="0" w:space="0" w:color="auto"/>
        <w:left w:val="none" w:sz="0" w:space="0" w:color="auto"/>
        <w:bottom w:val="none" w:sz="0" w:space="0" w:color="auto"/>
        <w:right w:val="none" w:sz="0" w:space="0" w:color="auto"/>
      </w:divBdr>
    </w:div>
    <w:div w:id="1337657495">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500658354">
      <w:bodyDiv w:val="1"/>
      <w:marLeft w:val="0"/>
      <w:marRight w:val="0"/>
      <w:marTop w:val="0"/>
      <w:marBottom w:val="0"/>
      <w:divBdr>
        <w:top w:val="none" w:sz="0" w:space="0" w:color="auto"/>
        <w:left w:val="none" w:sz="0" w:space="0" w:color="auto"/>
        <w:bottom w:val="none" w:sz="0" w:space="0" w:color="auto"/>
        <w:right w:val="none" w:sz="0" w:space="0" w:color="auto"/>
      </w:divBdr>
    </w:div>
    <w:div w:id="184427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viscotec-asia.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viscotec.fr"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viscotec-america.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elanie.hintereder@viscotec.de" TargetMode="External"/><Relationship Id="rId20" Type="http://schemas.openxmlformats.org/officeDocument/2006/relationships/hyperlink" Target="http://www.viscotec-indi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viscotec.com.c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4" ma:contentTypeDescription="Ein neues Dokument erstellen." ma:contentTypeScope="" ma:versionID="8c19d5b8aee962563db884edfda90f46">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BBC298-AE19-4C78-A00E-EF8362010B9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5780AEE-B780-4EBF-8B34-8B65F8B3BA03}">
  <ds:schemaRefs>
    <ds:schemaRef ds:uri="http://schemas.microsoft.com/sharepoint/v3/contenttype/forms"/>
  </ds:schemaRefs>
</ds:datastoreItem>
</file>

<file path=customXml/itemProps3.xml><?xml version="1.0" encoding="utf-8"?>
<ds:datastoreItem xmlns:ds="http://schemas.openxmlformats.org/officeDocument/2006/customXml" ds:itemID="{927F45F7-2FEF-40FB-9D86-599D41241FC8}">
  <ds:schemaRefs>
    <ds:schemaRef ds:uri="http://schemas.openxmlformats.org/officeDocument/2006/bibliography"/>
  </ds:schemaRefs>
</ds:datastoreItem>
</file>

<file path=customXml/itemProps4.xml><?xml version="1.0" encoding="utf-8"?>
<ds:datastoreItem xmlns:ds="http://schemas.openxmlformats.org/officeDocument/2006/customXml" ds:itemID="{B2110869-8A7A-466A-A887-20C2E3077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1261</Words>
  <Characters>7248</Characters>
  <Application>Microsoft Office Word</Application>
  <DocSecurity>4</DocSecurity>
  <Lines>60</Lines>
  <Paragraphs>16</Paragraphs>
  <ScaleCrop>false</ScaleCrop>
  <HeadingPairs>
    <vt:vector size="2" baseType="variant">
      <vt:variant>
        <vt:lpstr>Titre</vt:lpstr>
      </vt:variant>
      <vt:variant>
        <vt:i4>1</vt:i4>
      </vt:variant>
    </vt:vector>
  </HeadingPairs>
  <TitlesOfParts>
    <vt:vector size="1" baseType="lpstr">
      <vt:lpstr>VT Word Vorlage</vt:lpstr>
    </vt:vector>
  </TitlesOfParts>
  <Company>ViscoTec GmbH</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2</cp:revision>
  <cp:lastPrinted>2020-10-28T13:13:00Z</cp:lastPrinted>
  <dcterms:created xsi:type="dcterms:W3CDTF">2020-12-09T09:10:00Z</dcterms:created>
  <dcterms:modified xsi:type="dcterms:W3CDTF">2020-12-09T09:10:00Z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