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8B110" w14:textId="77777777" w:rsidR="00C450E2" w:rsidRPr="00031C83" w:rsidRDefault="00F074B2" w:rsidP="000E2BA7">
      <w:pPr>
        <w:pStyle w:val="Headline1"/>
      </w:pPr>
      <w:r w:rsidRPr="00031C83">
        <w:t>Pressemitteilung</w:t>
      </w:r>
    </w:p>
    <w:p w14:paraId="7D8DB70F" w14:textId="77777777" w:rsidR="00A82FFA" w:rsidRPr="00031C83" w:rsidRDefault="00A82FFA" w:rsidP="00A82FFA"/>
    <w:p w14:paraId="40B4AB37" w14:textId="77777777" w:rsidR="00F074B2" w:rsidRPr="00031C83" w:rsidRDefault="00F074B2" w:rsidP="00F074B2">
      <w:pPr>
        <w:spacing w:line="360" w:lineRule="auto"/>
        <w:ind w:right="1276"/>
        <w:rPr>
          <w:rFonts w:cs="Arial"/>
          <w:b/>
          <w:bCs/>
          <w:sz w:val="28"/>
          <w:szCs w:val="28"/>
        </w:rPr>
      </w:pPr>
    </w:p>
    <w:p w14:paraId="6E19450E" w14:textId="34657F19" w:rsidR="00F074B2" w:rsidRPr="00031C83" w:rsidRDefault="003A3631" w:rsidP="000E2BA7">
      <w:pPr>
        <w:pStyle w:val="Headline1"/>
      </w:pPr>
      <w:r>
        <w:t xml:space="preserve">Vollautomatische </w:t>
      </w:r>
      <w:r w:rsidR="006E644A">
        <w:t>Abfüllanlagen für Flüssigkeiten</w:t>
      </w:r>
    </w:p>
    <w:p w14:paraId="5A7B0F63" w14:textId="77777777" w:rsidR="000E2BA7" w:rsidRPr="00031C83" w:rsidRDefault="000E2BA7" w:rsidP="000E2BA7">
      <w:pPr>
        <w:pStyle w:val="Headline1"/>
      </w:pPr>
    </w:p>
    <w:p w14:paraId="3E0A38FC" w14:textId="2D52FBA6" w:rsidR="00F074B2" w:rsidRPr="00031C83" w:rsidRDefault="003A3631" w:rsidP="000E2BA7">
      <w:pPr>
        <w:pStyle w:val="Subheadline"/>
      </w:pPr>
      <w:r>
        <w:t xml:space="preserve">Dosiertechnik von ViscoTec: </w:t>
      </w:r>
      <w:r w:rsidR="006E644A">
        <w:t>Kompak</w:t>
      </w:r>
      <w:r w:rsidR="00CC119F">
        <w:t>tes Design</w:t>
      </w:r>
      <w:r w:rsidR="006E644A">
        <w:t>, kurze Taktzeiten</w:t>
      </w:r>
    </w:p>
    <w:p w14:paraId="34C5C07A" w14:textId="77777777" w:rsidR="00DD129A" w:rsidRDefault="00DD129A" w:rsidP="006E644A">
      <w:pPr>
        <w:pStyle w:val="Presse-Fliesstext"/>
        <w:rPr>
          <w:color w:val="FF0000"/>
        </w:rPr>
      </w:pPr>
    </w:p>
    <w:p w14:paraId="7BDE63A0" w14:textId="0A785FF9" w:rsidR="00815F00" w:rsidRDefault="002D5CC1" w:rsidP="00F24C27">
      <w:pPr>
        <w:pStyle w:val="Presse-Fliesstext"/>
      </w:pPr>
      <w:r w:rsidRPr="002D5CC1">
        <w:t>Die Anforderungen an v</w:t>
      </w:r>
      <w:r w:rsidR="003A3631" w:rsidRPr="002D5CC1">
        <w:t xml:space="preserve">ollautomatisierte Abfüllanlagen sind </w:t>
      </w:r>
      <w:r w:rsidRPr="002D5CC1">
        <w:t>vielfältig</w:t>
      </w:r>
      <w:r w:rsidR="003A3631" w:rsidRPr="002D5CC1">
        <w:t>.</w:t>
      </w:r>
      <w:r w:rsidR="00815F00">
        <w:t xml:space="preserve"> Aber für sie alle gilt: Nur eine wirtschaftliche Anlage ist von Nutzen. </w:t>
      </w:r>
      <w:r w:rsidR="006172FE">
        <w:t>Hohe</w:t>
      </w:r>
      <w:r w:rsidR="001F3160">
        <w:t xml:space="preserve"> Taktraten </w:t>
      </w:r>
      <w:r w:rsidR="00815F00">
        <w:t>und die geforderte Ausbringungsrate</w:t>
      </w:r>
      <w:r w:rsidR="006172FE">
        <w:t xml:space="preserve"> bei konstant präzisen Dosierergebnissen</w:t>
      </w:r>
      <w:r w:rsidR="00815F00">
        <w:t xml:space="preserve"> müssen erfüllt werden.</w:t>
      </w:r>
      <w:r w:rsidR="003A3631" w:rsidRPr="002D5CC1">
        <w:t xml:space="preserve"> </w:t>
      </w:r>
      <w:r w:rsidR="00BC7E99">
        <w:t>Das</w:t>
      </w:r>
      <w:r w:rsidR="00815F00">
        <w:t xml:space="preserve"> ist</w:t>
      </w:r>
      <w:r w:rsidR="003A3631" w:rsidRPr="002D5CC1">
        <w:t xml:space="preserve"> g</w:t>
      </w:r>
      <w:r w:rsidR="006E644A" w:rsidRPr="002D5CC1">
        <w:t xml:space="preserve">erade </w:t>
      </w:r>
      <w:r w:rsidR="00815F00">
        <w:t>bei der</w:t>
      </w:r>
      <w:r w:rsidR="006E644A" w:rsidRPr="002D5CC1">
        <w:t xml:space="preserve"> Dosierung von </w:t>
      </w:r>
      <w:r w:rsidR="00815F00">
        <w:t xml:space="preserve">niedrig- bis </w:t>
      </w:r>
      <w:r w:rsidR="00BD5C6A">
        <w:t>hoch</w:t>
      </w:r>
      <w:r w:rsidR="00815F00">
        <w:t xml:space="preserve">viskosen </w:t>
      </w:r>
      <w:r w:rsidR="006E644A" w:rsidRPr="002D5CC1">
        <w:t xml:space="preserve">Flüssigkeiten </w:t>
      </w:r>
      <w:r w:rsidR="00815F00">
        <w:t xml:space="preserve">eine Herausforderung und bildet unter Umständen </w:t>
      </w:r>
      <w:r w:rsidR="006E644A" w:rsidRPr="002D5CC1">
        <w:t>kritische Prozessschritt</w:t>
      </w:r>
      <w:r w:rsidR="00815F00">
        <w:t>e</w:t>
      </w:r>
      <w:r w:rsidR="006E644A" w:rsidRPr="002D5CC1">
        <w:t xml:space="preserve">. </w:t>
      </w:r>
      <w:r w:rsidR="00815F00">
        <w:t xml:space="preserve">Für eine ideale Umsetzung sind präzise Dosiersysteme </w:t>
      </w:r>
      <w:r w:rsidR="00815F00" w:rsidRPr="00F24C27">
        <w:t>notwendig –</w:t>
      </w:r>
      <w:r w:rsidR="001F50FC">
        <w:t xml:space="preserve"> </w:t>
      </w:r>
      <w:r w:rsidR="0067792A">
        <w:t xml:space="preserve">auch in Form </w:t>
      </w:r>
      <w:r w:rsidR="00502176">
        <w:t>von anwendungsspezifisch</w:t>
      </w:r>
      <w:r w:rsidR="0067792A">
        <w:t xml:space="preserve"> zusammengestellten </w:t>
      </w:r>
      <w:r w:rsidR="00815F00" w:rsidRPr="00F24C27">
        <w:t>Mehrfach</w:t>
      </w:r>
      <w:r w:rsidR="009F40C0">
        <w:t>-Abfüllsysteme</w:t>
      </w:r>
      <w:r w:rsidR="00502176">
        <w:t>n</w:t>
      </w:r>
      <w:r w:rsidR="0067792A">
        <w:t xml:space="preserve"> für Verpackungsanlagen</w:t>
      </w:r>
      <w:r w:rsidR="00502176">
        <w:t>.</w:t>
      </w:r>
    </w:p>
    <w:p w14:paraId="59092EE8" w14:textId="1466C429" w:rsidR="009C00DC" w:rsidRDefault="009C00DC" w:rsidP="005A5BAB">
      <w:pPr>
        <w:pStyle w:val="Subheadline"/>
      </w:pPr>
      <w:r>
        <w:t>Mehrfach</w:t>
      </w:r>
      <w:r w:rsidR="00465D3B">
        <w:t>-</w:t>
      </w:r>
      <w:r w:rsidR="009F40C0">
        <w:t>Abfüllsysteme</w:t>
      </w:r>
    </w:p>
    <w:p w14:paraId="2EA7A7BA" w14:textId="77777777" w:rsidR="005A5BAB" w:rsidRPr="00F24C27" w:rsidRDefault="005A5BAB" w:rsidP="005A5BAB">
      <w:pPr>
        <w:pStyle w:val="Subheadline"/>
      </w:pPr>
    </w:p>
    <w:p w14:paraId="71CC631C" w14:textId="34F9CD4B" w:rsidR="006E644A" w:rsidRDefault="000964E5" w:rsidP="00F24C27">
      <w:pPr>
        <w:pStyle w:val="Presse-Fliesstext"/>
      </w:pPr>
      <w:r w:rsidRPr="00F24C27">
        <w:t>Die Mehrfach</w:t>
      </w:r>
      <w:r w:rsidR="0031128D">
        <w:t>-A</w:t>
      </w:r>
      <w:r w:rsidRPr="00F24C27">
        <w:t>bfüller</w:t>
      </w:r>
      <w:r w:rsidR="006E644A" w:rsidRPr="00F24C27">
        <w:t xml:space="preserve"> müssen so einfach wie möglich in die Abfüllanlagen integrierbar sein. Werkzeugträger</w:t>
      </w:r>
      <w:r w:rsidR="004D715B" w:rsidRPr="00F24C27">
        <w:t xml:space="preserve"> bzw.</w:t>
      </w:r>
      <w:r w:rsidR="006E644A" w:rsidRPr="00F24C27">
        <w:t xml:space="preserve"> Formatplatten (engl. Carrier</w:t>
      </w:r>
      <w:r w:rsidR="004D715B" w:rsidRPr="00F24C27">
        <w:t>s</w:t>
      </w:r>
      <w:r w:rsidR="006E644A" w:rsidRPr="00F24C27">
        <w:t xml:space="preserve">) haben oft enge Stichmaße, daher ist ein kompaktes Design der Dosierventile notwendig. </w:t>
      </w:r>
      <w:r w:rsidR="00CA12A5" w:rsidRPr="00F24C27">
        <w:t xml:space="preserve">Als Antwort auf die </w:t>
      </w:r>
      <w:r w:rsidR="00253587">
        <w:t>Anforderungen</w:t>
      </w:r>
      <w:r w:rsidR="00CA12A5" w:rsidRPr="00F24C27">
        <w:t xml:space="preserve"> des Marktes, hat </w:t>
      </w:r>
      <w:r w:rsidR="006E644A" w:rsidRPr="00F24C27">
        <w:t>ViscoTec ein</w:t>
      </w:r>
      <w:r w:rsidR="00CA12A5" w:rsidRPr="00F24C27">
        <w:t>en</w:t>
      </w:r>
      <w:r w:rsidR="006E644A" w:rsidRPr="00F24C27">
        <w:t xml:space="preserve"> quadratische</w:t>
      </w:r>
      <w:r w:rsidR="00CA12A5" w:rsidRPr="00F24C27">
        <w:t>n</w:t>
      </w:r>
      <w:r w:rsidR="006E644A" w:rsidRPr="00F24C27">
        <w:t xml:space="preserve"> Dispenser entwickelt</w:t>
      </w:r>
      <w:r w:rsidR="00F24C27" w:rsidRPr="00F24C27">
        <w:t xml:space="preserve">, den </w:t>
      </w:r>
      <w:hyperlink r:id="rId11" w:history="1">
        <w:r w:rsidR="00F24C27" w:rsidRPr="00077DC7">
          <w:rPr>
            <w:rStyle w:val="Hyperlink"/>
          </w:rPr>
          <w:t>Hygienic Dispenser VHD-Q</w:t>
        </w:r>
        <w:r w:rsidR="006E644A" w:rsidRPr="00077DC7">
          <w:rPr>
            <w:rStyle w:val="Hyperlink"/>
          </w:rPr>
          <w:t>.</w:t>
        </w:r>
      </w:hyperlink>
      <w:r w:rsidR="00CA12A5" w:rsidRPr="00F24C27">
        <w:t xml:space="preserve"> Durch die quadratische Form können die </w:t>
      </w:r>
      <w:r w:rsidR="004C76AB">
        <w:t xml:space="preserve">viskositätsunabhängigen </w:t>
      </w:r>
      <w:r w:rsidR="00CA12A5" w:rsidRPr="00F24C27">
        <w:t xml:space="preserve">Dispenser </w:t>
      </w:r>
      <w:r w:rsidR="009E68D4" w:rsidRPr="00502176">
        <w:t>formschlüssig</w:t>
      </w:r>
      <w:r w:rsidR="00CA12A5" w:rsidRPr="00F24C27">
        <w:t xml:space="preserve"> nebeneinander platziert werden</w:t>
      </w:r>
      <w:r w:rsidR="00E10EC9">
        <w:t xml:space="preserve"> – </w:t>
      </w:r>
      <w:r w:rsidR="00C570CE" w:rsidRPr="00D608FB">
        <w:t xml:space="preserve">bei </w:t>
      </w:r>
      <w:r w:rsidR="007D232F" w:rsidRPr="00D608FB">
        <w:t>geringste</w:t>
      </w:r>
      <w:r w:rsidR="00C570CE" w:rsidRPr="00D608FB">
        <w:t>m</w:t>
      </w:r>
      <w:r w:rsidR="007D232F" w:rsidRPr="00D608FB">
        <w:t xml:space="preserve"> Platzbedarf</w:t>
      </w:r>
      <w:r w:rsidR="00C570CE">
        <w:t xml:space="preserve"> und</w:t>
      </w:r>
      <w:r w:rsidR="007801B1">
        <w:t xml:space="preserve"> </w:t>
      </w:r>
      <w:r w:rsidR="00D37FA5">
        <w:t>im modularen Aufbau</w:t>
      </w:r>
      <w:r w:rsidR="00CA12A5" w:rsidRPr="00F24C27">
        <w:t xml:space="preserve">. </w:t>
      </w:r>
      <w:r w:rsidR="006E644A" w:rsidRPr="00F24C27">
        <w:t xml:space="preserve">Die Zuführung des Mediums erfolgt über </w:t>
      </w:r>
      <w:proofErr w:type="spellStart"/>
      <w:r w:rsidR="006E644A" w:rsidRPr="00F24C27">
        <w:t>Manifolds</w:t>
      </w:r>
      <w:proofErr w:type="spellEnd"/>
      <w:r w:rsidR="006E644A" w:rsidRPr="00F24C27">
        <w:t>, die direkt an den Dispenser angeschlossen sind</w:t>
      </w:r>
      <w:r w:rsidR="00CA12A5" w:rsidRPr="00F24C27">
        <w:t xml:space="preserve"> – o</w:t>
      </w:r>
      <w:r w:rsidR="006E644A" w:rsidRPr="00F24C27">
        <w:t xml:space="preserve">hne Verschlauchung oder Verrohrung. </w:t>
      </w:r>
      <w:r w:rsidR="009C00DC">
        <w:t>So</w:t>
      </w:r>
      <w:r w:rsidR="006E644A" w:rsidRPr="00F24C27">
        <w:t xml:space="preserve"> können beliebig viele Dosierstellen in einem „Block“ realisiert werden.</w:t>
      </w:r>
    </w:p>
    <w:p w14:paraId="52307C07" w14:textId="74FB6390" w:rsidR="00B307C4" w:rsidRDefault="00B307C4" w:rsidP="00B307C4">
      <w:pPr>
        <w:pStyle w:val="Subheadline"/>
      </w:pPr>
      <w:r w:rsidRPr="00B307C4">
        <w:t>Optionale Verbindung durch Schlauch- oder Rohrleitung</w:t>
      </w:r>
    </w:p>
    <w:p w14:paraId="6B279148" w14:textId="77777777" w:rsidR="00B307C4" w:rsidRPr="00B307C4" w:rsidRDefault="00B307C4" w:rsidP="00B307C4">
      <w:pPr>
        <w:pStyle w:val="Subheadline"/>
      </w:pPr>
    </w:p>
    <w:p w14:paraId="191ABC6A" w14:textId="6DED0EFE" w:rsidR="006E644A" w:rsidRDefault="006E644A" w:rsidP="006E644A">
      <w:pPr>
        <w:pStyle w:val="Presse-Fliesstext"/>
      </w:pPr>
      <w:r w:rsidRPr="00F24C27">
        <w:t>Die Dispenser können auch neben</w:t>
      </w:r>
      <w:r w:rsidRPr="006E644A">
        <w:t xml:space="preserve"> dem Werkzeugträger platziert werden und über </w:t>
      </w:r>
      <w:r w:rsidR="00656FBE">
        <w:t xml:space="preserve">eine </w:t>
      </w:r>
      <w:r w:rsidRPr="006E644A">
        <w:t>Schlauchleitung oder Rohrleitung mit der Dosier</w:t>
      </w:r>
      <w:r w:rsidR="00502176">
        <w:t>nadel</w:t>
      </w:r>
      <w:r w:rsidRPr="006E644A">
        <w:t xml:space="preserve"> direkt über dem Gebinde verbunden werden. Dadurch sind noch kleinere Stichmaße möglich. Die Dosiernadel wird dabei an die Formate in Punkto Länge und Durchmesser angepasst. Durch einen einstellbaren Rückzug am Dosierende wird ein definierter Fadenabriss erzielt und Nachtropfen verhindert. Zur </w:t>
      </w:r>
      <w:r w:rsidR="00656FBE">
        <w:t xml:space="preserve">weiteren </w:t>
      </w:r>
      <w:r w:rsidRPr="006E644A">
        <w:t xml:space="preserve">Optimierung der Dosierzeit können auch </w:t>
      </w:r>
      <w:r w:rsidRPr="006E644A">
        <w:lastRenderedPageBreak/>
        <w:t xml:space="preserve">verschließbare Dosiernadeln oder </w:t>
      </w:r>
      <w:r w:rsidRPr="001D760F">
        <w:t>Füll</w:t>
      </w:r>
      <w:r w:rsidR="00F44243" w:rsidRPr="001D760F">
        <w:t>ventile</w:t>
      </w:r>
      <w:r w:rsidRPr="006E644A">
        <w:t xml:space="preserve"> eingesetzt werden. Die Dosierkomponenten können</w:t>
      </w:r>
      <w:r w:rsidR="005C3B8E">
        <w:t xml:space="preserve"> bei Bedarf</w:t>
      </w:r>
      <w:r w:rsidRPr="006E644A">
        <w:t xml:space="preserve"> über optionale Heizsysteme wie Heizmanschette</w:t>
      </w:r>
      <w:r w:rsidR="005C3B8E">
        <w:t>n</w:t>
      </w:r>
      <w:r w:rsidRPr="006E644A">
        <w:t xml:space="preserve"> oder Kartuschen</w:t>
      </w:r>
      <w:r w:rsidR="001D760F">
        <w:t>,</w:t>
      </w:r>
      <w:r w:rsidR="0067792A">
        <w:t xml:space="preserve"> </w:t>
      </w:r>
      <w:r w:rsidR="001D760F">
        <w:t xml:space="preserve">bzw. </w:t>
      </w:r>
      <w:r w:rsidR="0067792A">
        <w:t xml:space="preserve">Patronen </w:t>
      </w:r>
      <w:r w:rsidRPr="006E644A">
        <w:t xml:space="preserve">temperiert werden. </w:t>
      </w:r>
      <w:r w:rsidR="005C3B8E">
        <w:t>Das kann besonders bei s</w:t>
      </w:r>
      <w:r w:rsidRPr="006E644A">
        <w:t>tark f</w:t>
      </w:r>
      <w:r w:rsidR="005C3B8E">
        <w:t>a</w:t>
      </w:r>
      <w:r w:rsidRPr="006E644A">
        <w:t>denziehenden Produkten</w:t>
      </w:r>
      <w:r w:rsidR="005C3B8E">
        <w:t xml:space="preserve"> von Vorteil sein. Das </w:t>
      </w:r>
      <w:r w:rsidRPr="006E644A">
        <w:t>Dosierergebnis</w:t>
      </w:r>
      <w:r w:rsidR="005C3B8E">
        <w:t xml:space="preserve"> wird</w:t>
      </w:r>
      <w:r w:rsidRPr="006E644A">
        <w:t xml:space="preserve"> verbesser</w:t>
      </w:r>
      <w:r w:rsidR="005C3B8E">
        <w:t>t</w:t>
      </w:r>
      <w:r w:rsidRPr="006E644A">
        <w:t xml:space="preserve"> und die Dosierzeit so kurz wie möglich </w:t>
      </w:r>
      <w:r w:rsidR="005C3B8E">
        <w:t>ge</w:t>
      </w:r>
      <w:r w:rsidRPr="006E644A">
        <w:t xml:space="preserve">halten. </w:t>
      </w:r>
    </w:p>
    <w:p w14:paraId="3F54C914" w14:textId="4688C8F3" w:rsidR="00EF1FB8" w:rsidRDefault="00EF1FB8" w:rsidP="00EF1FB8">
      <w:pPr>
        <w:pStyle w:val="Subheadline"/>
      </w:pPr>
      <w:r>
        <w:t>Kurze Taktzeiten von 0,5 Sekunden</w:t>
      </w:r>
    </w:p>
    <w:p w14:paraId="0891EF1E" w14:textId="77777777" w:rsidR="00EF1FB8" w:rsidRPr="006E644A" w:rsidRDefault="00EF1FB8" w:rsidP="00EF1FB8">
      <w:pPr>
        <w:pStyle w:val="Subheadline"/>
      </w:pPr>
    </w:p>
    <w:p w14:paraId="6B0C6BA5" w14:textId="0FEA0EF6" w:rsidR="004C76AB" w:rsidRDefault="006E644A" w:rsidP="006E644A">
      <w:pPr>
        <w:pStyle w:val="Presse-Fliesstext"/>
      </w:pPr>
      <w:r w:rsidRPr="006E644A">
        <w:t xml:space="preserve">Durch Hochleistungswerkstoffe in der </w:t>
      </w:r>
      <w:r w:rsidR="00F82042">
        <w:t>Abfüllp</w:t>
      </w:r>
      <w:r w:rsidRPr="006E644A">
        <w:t>umpe und leistungsstarke Servomotoren sind kurze Taktzeiten für wässrige bis mittelviskose Produkte von 0,5 Sekunden realisierbar.</w:t>
      </w:r>
      <w:r w:rsidR="00F82042">
        <w:t xml:space="preserve"> Bei einer </w:t>
      </w:r>
      <w:r w:rsidR="00F82042" w:rsidRPr="006E644A">
        <w:t>Dosiergenauigkeit</w:t>
      </w:r>
      <w:r w:rsidR="00F82042">
        <w:t xml:space="preserve"> von</w:t>
      </w:r>
      <w:r w:rsidR="00F82042" w:rsidRPr="006E644A">
        <w:t xml:space="preserve"> </w:t>
      </w:r>
      <w:r w:rsidR="00F82042" w:rsidRPr="00D608FB">
        <w:t xml:space="preserve">+/- </w:t>
      </w:r>
      <w:r w:rsidR="00615FFE" w:rsidRPr="00D608FB">
        <w:t>99</w:t>
      </w:r>
      <w:r w:rsidR="00F82042">
        <w:t xml:space="preserve"> </w:t>
      </w:r>
      <w:r w:rsidR="00F82042" w:rsidRPr="006E644A">
        <w:t>%</w:t>
      </w:r>
      <w:r w:rsidR="00F82042">
        <w:t>.</w:t>
      </w:r>
      <w:r w:rsidRPr="006E644A">
        <w:t xml:space="preserve"> Produkt- oder Farbwechsel lassen sich einfach durch optionale Anschlüsse für Umwälzverrohrung oder CIP Systeme umsetzen. </w:t>
      </w:r>
      <w:r w:rsidR="0067792A">
        <w:t xml:space="preserve">Zirkulieren </w:t>
      </w:r>
      <w:r w:rsidRPr="006E644A">
        <w:t>kann nötig sein</w:t>
      </w:r>
      <w:r w:rsidR="00F82042">
        <w:t>,</w:t>
      </w:r>
      <w:r w:rsidRPr="006E644A">
        <w:t xml:space="preserve"> um bei feststoffbeladenen Medien wie Suspensionen eine Sedimentation zu verhindern. Die robusten Dosiersysteme können auch in 24/7 Produktionsstätten </w:t>
      </w:r>
      <w:r w:rsidR="00317406">
        <w:t>verwendet</w:t>
      </w:r>
      <w:r w:rsidRPr="006E644A">
        <w:t xml:space="preserve"> werden</w:t>
      </w:r>
      <w:r w:rsidR="00F82042">
        <w:t xml:space="preserve">. Dort überzeugen sie beispielsweise durch </w:t>
      </w:r>
      <w:r w:rsidRPr="006E644A">
        <w:t>die hohe Standfestigkeit und Wartungsarmut.</w:t>
      </w:r>
    </w:p>
    <w:p w14:paraId="63C9F495" w14:textId="6C15DA44" w:rsidR="006E644A" w:rsidRDefault="00F82042" w:rsidP="006E644A">
      <w:pPr>
        <w:pStyle w:val="Presse-Fliesstext"/>
      </w:pPr>
      <w:r>
        <w:t xml:space="preserve">Die Einsatzbereiche des </w:t>
      </w:r>
      <w:r w:rsidR="00E73B07" w:rsidRPr="00F814A0">
        <w:t>kompakten</w:t>
      </w:r>
      <w:r>
        <w:t xml:space="preserve"> Dispensers </w:t>
      </w:r>
      <w:r w:rsidR="00FD532C">
        <w:t xml:space="preserve">für </w:t>
      </w:r>
      <w:proofErr w:type="spellStart"/>
      <w:r w:rsidR="00FD532C" w:rsidRPr="002A0986">
        <w:t>mehrbahnige</w:t>
      </w:r>
      <w:proofErr w:type="spellEnd"/>
      <w:r w:rsidR="00FD532C" w:rsidRPr="002A0986">
        <w:t xml:space="preserve"> Fülllinien</w:t>
      </w:r>
      <w:r w:rsidR="00FD532C">
        <w:t xml:space="preserve"> </w:t>
      </w:r>
      <w:r>
        <w:t xml:space="preserve">sind vielfältig. Dank des Hygienic Designs kann er </w:t>
      </w:r>
      <w:r w:rsidR="006E644A" w:rsidRPr="006E644A">
        <w:t xml:space="preserve">sowohl für Home-Care Produkte wie Waschmittel </w:t>
      </w:r>
      <w:proofErr w:type="spellStart"/>
      <w:r>
        <w:t>Pods</w:t>
      </w:r>
      <w:proofErr w:type="spellEnd"/>
      <w:r>
        <w:t xml:space="preserve"> </w:t>
      </w:r>
      <w:r w:rsidR="006E644A" w:rsidRPr="006E644A">
        <w:t>oder Reinigungsmittel</w:t>
      </w:r>
      <w:r>
        <w:t xml:space="preserve"> Tabs,</w:t>
      </w:r>
      <w:r w:rsidR="006E644A" w:rsidRPr="006E644A">
        <w:t xml:space="preserve"> als auch </w:t>
      </w:r>
      <w:r>
        <w:t xml:space="preserve">für </w:t>
      </w:r>
      <w:r w:rsidR="006E644A" w:rsidRPr="006E644A">
        <w:t>Lebensmittel wie Nahrungsmittelergänzungsmittel oder Frucht</w:t>
      </w:r>
      <w:r>
        <w:t xml:space="preserve"> Pürees</w:t>
      </w:r>
      <w:r w:rsidR="006E644A" w:rsidRPr="006E644A">
        <w:t>, aber auch für hochviskose Medizinprodukte wie blutseparierende Gele</w:t>
      </w:r>
      <w:r>
        <w:t xml:space="preserve"> verwendet werden</w:t>
      </w:r>
      <w:r w:rsidR="006E644A" w:rsidRPr="006E644A">
        <w:t>. Er ist optimal für Dosiervolumina von 0,1 – 20 ml</w:t>
      </w:r>
      <w:r w:rsidR="0067792A">
        <w:t xml:space="preserve"> geeignet.</w:t>
      </w:r>
    </w:p>
    <w:p w14:paraId="2D2506DC" w14:textId="6FD12FBC" w:rsidR="001D0523" w:rsidRDefault="00E731C7" w:rsidP="001D0523">
      <w:pPr>
        <w:pStyle w:val="Presse-Fliesstext"/>
      </w:pPr>
      <w:r w:rsidRPr="009A0BA0">
        <w:t>Der w</w:t>
      </w:r>
      <w:r w:rsidR="001D0523" w:rsidRPr="009A0BA0">
        <w:t xml:space="preserve">irtschaftliche Nutzen bei vollautomatisierten Anlagen hängt nicht nur </w:t>
      </w:r>
      <w:r w:rsidRPr="009A0BA0">
        <w:t>von</w:t>
      </w:r>
      <w:r w:rsidR="001D0523" w:rsidRPr="009A0BA0">
        <w:t xml:space="preserve"> Taktrate und Präzision</w:t>
      </w:r>
      <w:r w:rsidRPr="009A0BA0">
        <w:t xml:space="preserve"> ab</w:t>
      </w:r>
      <w:r w:rsidR="001D0523" w:rsidRPr="009A0BA0">
        <w:t xml:space="preserve">, sondern auch </w:t>
      </w:r>
      <w:r w:rsidR="00FF7596" w:rsidRPr="009A0BA0">
        <w:t>von</w:t>
      </w:r>
      <w:r w:rsidR="001D0523" w:rsidRPr="009A0BA0">
        <w:t xml:space="preserve"> der Variantenvielfalt</w:t>
      </w:r>
      <w:r w:rsidR="00FF7596" w:rsidRPr="009A0BA0">
        <w:t xml:space="preserve">. </w:t>
      </w:r>
      <w:r w:rsidR="00B649A7" w:rsidRPr="009A0BA0">
        <w:t xml:space="preserve">Denn </w:t>
      </w:r>
      <w:r w:rsidR="00586ADD" w:rsidRPr="009A0BA0">
        <w:t>diese</w:t>
      </w:r>
      <w:r w:rsidR="001D0523" w:rsidRPr="009A0BA0">
        <w:t xml:space="preserve"> ermöglicht auch bei kleineren Losgrößen und </w:t>
      </w:r>
      <w:r w:rsidR="00586ADD" w:rsidRPr="009A0BA0">
        <w:t xml:space="preserve">einer </w:t>
      </w:r>
      <w:r w:rsidR="001D0523" w:rsidRPr="009A0BA0">
        <w:t>erhöhte</w:t>
      </w:r>
      <w:r w:rsidR="00586ADD" w:rsidRPr="009A0BA0">
        <w:t>n</w:t>
      </w:r>
      <w:r w:rsidR="001D0523" w:rsidRPr="009A0BA0">
        <w:t xml:space="preserve"> Anzahl von Chargenwechsel</w:t>
      </w:r>
      <w:r w:rsidR="00FF7596" w:rsidRPr="009A0BA0">
        <w:t>n</w:t>
      </w:r>
      <w:r w:rsidR="001D0523" w:rsidRPr="009A0BA0">
        <w:t xml:space="preserve"> flexibel</w:t>
      </w:r>
      <w:r w:rsidR="00B649A7" w:rsidRPr="009A0BA0">
        <w:t xml:space="preserve"> und</w:t>
      </w:r>
      <w:r w:rsidR="001D0523" w:rsidRPr="009A0BA0">
        <w:t xml:space="preserve"> schnell reagieren zu können. Dank </w:t>
      </w:r>
      <w:r w:rsidRPr="009A0BA0">
        <w:t>der</w:t>
      </w:r>
      <w:r w:rsidR="001D0523" w:rsidRPr="009A0BA0">
        <w:t xml:space="preserve"> einfachen Reinigbarkeit </w:t>
      </w:r>
      <w:r w:rsidR="00761EAD" w:rsidRPr="009A0BA0">
        <w:t>und dem bewährten ViscoTec Endloskolben-Prinzip</w:t>
      </w:r>
      <w:r w:rsidR="001D0523" w:rsidRPr="009A0BA0">
        <w:t xml:space="preserve"> ist es </w:t>
      </w:r>
      <w:r w:rsidR="00586ADD" w:rsidRPr="009A0BA0">
        <w:t>ViscoTec Kunden</w:t>
      </w:r>
      <w:r w:rsidR="001D0523" w:rsidRPr="009A0BA0">
        <w:t xml:space="preserve"> möglich</w:t>
      </w:r>
      <w:r w:rsidR="00761EAD" w:rsidRPr="009A0BA0">
        <w:t>,</w:t>
      </w:r>
      <w:r w:rsidR="001D0523" w:rsidRPr="009A0BA0">
        <w:t xml:space="preserve"> unterschiedlichste Produkte</w:t>
      </w:r>
      <w:r w:rsidR="00586ADD" w:rsidRPr="009A0BA0">
        <w:t xml:space="preserve"> auf nur einem Dosiersystem zu verarbeiten: V</w:t>
      </w:r>
      <w:r w:rsidR="001D0523" w:rsidRPr="009A0BA0">
        <w:t xml:space="preserve">on </w:t>
      </w:r>
      <w:r w:rsidR="006B3573" w:rsidRPr="009A0BA0">
        <w:t>Flüssigkeiten</w:t>
      </w:r>
      <w:r w:rsidR="001D0523" w:rsidRPr="009A0BA0">
        <w:t xml:space="preserve"> bis </w:t>
      </w:r>
      <w:r w:rsidR="00586ADD" w:rsidRPr="009A0BA0">
        <w:t xml:space="preserve">hin zu </w:t>
      </w:r>
      <w:r w:rsidR="006B3573" w:rsidRPr="009A0BA0">
        <w:t>pastöse</w:t>
      </w:r>
      <w:r w:rsidR="00586ADD" w:rsidRPr="009A0BA0">
        <w:t>n</w:t>
      </w:r>
      <w:r w:rsidR="006B3573" w:rsidRPr="009A0BA0">
        <w:t xml:space="preserve"> Stoffe</w:t>
      </w:r>
      <w:r w:rsidR="00586ADD" w:rsidRPr="009A0BA0">
        <w:t>n</w:t>
      </w:r>
      <w:r w:rsidR="00AA1D41" w:rsidRPr="009A0BA0">
        <w:t xml:space="preserve"> </w:t>
      </w:r>
      <w:r w:rsidR="009A0BA0" w:rsidRPr="009A0BA0">
        <w:t>– a</w:t>
      </w:r>
      <w:r w:rsidR="001D0523" w:rsidRPr="009A0BA0">
        <w:t>brasiv</w:t>
      </w:r>
      <w:r w:rsidR="009A0BA0" w:rsidRPr="009A0BA0">
        <w:t xml:space="preserve">, </w:t>
      </w:r>
      <w:r w:rsidR="001D0523" w:rsidRPr="009A0BA0">
        <w:t>klebrig oder feststoffbeladen</w:t>
      </w:r>
      <w:r w:rsidR="00955FB7" w:rsidRPr="009A0BA0">
        <w:t>. Produktionsunterbrechungen aufgrund</w:t>
      </w:r>
      <w:r w:rsidR="009A0BA0" w:rsidRPr="009A0BA0">
        <w:t xml:space="preserve"> von</w:t>
      </w:r>
      <w:r w:rsidR="00955FB7" w:rsidRPr="009A0BA0">
        <w:t xml:space="preserve"> Rüstzeiten für einen Austausch ganzer Dosiersysteme </w:t>
      </w:r>
      <w:r w:rsidR="009A0BA0" w:rsidRPr="009A0BA0">
        <w:t>sind</w:t>
      </w:r>
      <w:r w:rsidR="00955FB7" w:rsidRPr="009A0BA0">
        <w:t xml:space="preserve"> nicht mehr notwendig. </w:t>
      </w:r>
    </w:p>
    <w:p w14:paraId="0754C697" w14:textId="77777777" w:rsidR="00B505D4" w:rsidRPr="009A0BA0" w:rsidRDefault="00B505D4" w:rsidP="001D0523">
      <w:pPr>
        <w:pStyle w:val="Presse-Fliesstext"/>
      </w:pPr>
    </w:p>
    <w:p w14:paraId="041BFC16" w14:textId="1A28E571" w:rsidR="00F074B2" w:rsidRPr="00735290" w:rsidRDefault="00B505D4" w:rsidP="00735290">
      <w:pPr>
        <w:pStyle w:val="Fliesstext"/>
      </w:pPr>
      <w:r w:rsidRPr="00031C83">
        <w:t>4.</w:t>
      </w:r>
      <w:r w:rsidR="001D6B8F">
        <w:t>096</w:t>
      </w:r>
      <w:r w:rsidRPr="00031C83">
        <w:rPr>
          <w:color w:val="FF0000"/>
        </w:rPr>
        <w:t xml:space="preserve"> </w:t>
      </w:r>
      <w:r w:rsidRPr="00031C83">
        <w:t>Zeichen inkl. Leerzeichen. Abdruck honorarfrei. Beleg erbeten.</w:t>
      </w:r>
    </w:p>
    <w:p w14:paraId="40A28B8B" w14:textId="77777777" w:rsidR="00F074B2" w:rsidRPr="00031C83" w:rsidRDefault="00C60AD4" w:rsidP="000E2BA7">
      <w:pPr>
        <w:pStyle w:val="Subheadline"/>
      </w:pPr>
      <w:r w:rsidRPr="00031C83">
        <w:lastRenderedPageBreak/>
        <w:t>Bildmaterial:</w:t>
      </w:r>
    </w:p>
    <w:p w14:paraId="36D02C23" w14:textId="77777777" w:rsidR="000E2BA7" w:rsidRPr="00031C83" w:rsidRDefault="000E2BA7" w:rsidP="000E2BA7">
      <w:pPr>
        <w:pStyle w:val="Subheadline"/>
      </w:pPr>
    </w:p>
    <w:p w14:paraId="2F656BE6" w14:textId="77777777" w:rsidR="00F24C27" w:rsidRDefault="00F24C27" w:rsidP="00F24C27">
      <w:r w:rsidRPr="00836F48">
        <w:rPr>
          <w:noProof/>
        </w:rPr>
        <w:drawing>
          <wp:inline distT="0" distB="0" distL="0" distR="0" wp14:anchorId="6A93DFA6" wp14:editId="5F577505">
            <wp:extent cx="2284095" cy="1524875"/>
            <wp:effectExtent l="19050" t="19050" r="20955" b="18415"/>
            <wp:docPr id="7" name="Grafik 6">
              <a:extLst xmlns:a="http://schemas.openxmlformats.org/drawingml/2006/main">
                <a:ext uri="{FF2B5EF4-FFF2-40B4-BE49-F238E27FC236}">
                  <a16:creationId xmlns:a16="http://schemas.microsoft.com/office/drawing/2014/main" id="{62B1EFE5-965B-41FD-A7D4-23F7EEF679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a:extLst>
                        <a:ext uri="{FF2B5EF4-FFF2-40B4-BE49-F238E27FC236}">
                          <a16:creationId xmlns:a16="http://schemas.microsoft.com/office/drawing/2014/main" id="{62B1EFE5-965B-41FD-A7D4-23F7EEF679E8}"/>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306828" cy="1540051"/>
                    </a:xfrm>
                    <a:prstGeom prst="rect">
                      <a:avLst/>
                    </a:prstGeom>
                    <a:ln>
                      <a:solidFill>
                        <a:schemeClr val="accent1"/>
                      </a:solidFill>
                    </a:ln>
                  </pic:spPr>
                </pic:pic>
              </a:graphicData>
            </a:graphic>
          </wp:inline>
        </w:drawing>
      </w:r>
    </w:p>
    <w:p w14:paraId="60E92095" w14:textId="123A525C" w:rsidR="00F24C27" w:rsidRDefault="00F24C27" w:rsidP="00F24C27">
      <w:pPr>
        <w:pStyle w:val="Bildunterschrift"/>
        <w:rPr>
          <w:color w:val="E4032E" w:themeColor="accent3"/>
        </w:rPr>
      </w:pPr>
      <w:r w:rsidRPr="00F24C27">
        <w:rPr>
          <w:rFonts w:cs="Arial"/>
          <w:color w:val="000000"/>
        </w:rPr>
        <w:t xml:space="preserve">Hygienic Dispenser </w:t>
      </w:r>
      <w:r w:rsidRPr="00F24C27">
        <w:rPr>
          <w:rFonts w:cs="Arial"/>
        </w:rPr>
        <w:t xml:space="preserve">VHD-Q </w:t>
      </w:r>
      <w:r w:rsidRPr="00F24C27">
        <w:t xml:space="preserve">30-fach Abfüller </w:t>
      </w:r>
    </w:p>
    <w:p w14:paraId="760BA3DF" w14:textId="379A9B2C" w:rsidR="002B01DF" w:rsidRDefault="002B01DF" w:rsidP="00F24C27">
      <w:pPr>
        <w:pStyle w:val="Bildunterschrift"/>
        <w:rPr>
          <w:color w:val="E4032E" w:themeColor="accent3"/>
        </w:rPr>
      </w:pPr>
    </w:p>
    <w:p w14:paraId="44318335" w14:textId="7811424B" w:rsidR="002B01DF" w:rsidRDefault="00B46136" w:rsidP="002B01DF">
      <w:r>
        <w:rPr>
          <w:noProof/>
        </w:rPr>
        <w:drawing>
          <wp:inline distT="0" distB="0" distL="0" distR="0" wp14:anchorId="45CAC541" wp14:editId="5912177E">
            <wp:extent cx="2284571" cy="1285875"/>
            <wp:effectExtent l="19050" t="19050" r="20955" b="952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90112" cy="1288994"/>
                    </a:xfrm>
                    <a:prstGeom prst="rect">
                      <a:avLst/>
                    </a:prstGeom>
                    <a:noFill/>
                    <a:ln>
                      <a:solidFill>
                        <a:schemeClr val="accent1"/>
                      </a:solidFill>
                    </a:ln>
                  </pic:spPr>
                </pic:pic>
              </a:graphicData>
            </a:graphic>
          </wp:inline>
        </w:drawing>
      </w:r>
      <w:r w:rsidR="00436FDA">
        <w:t xml:space="preserve"> </w:t>
      </w:r>
      <w:r w:rsidR="00BF1573">
        <w:rPr>
          <w:noProof/>
        </w:rPr>
        <w:drawing>
          <wp:inline distT="0" distB="0" distL="0" distR="0" wp14:anchorId="1F8DE245" wp14:editId="3C53ABA9">
            <wp:extent cx="2315531" cy="1302385"/>
            <wp:effectExtent l="19050" t="19050" r="27940" b="1206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98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6898" cy="1308778"/>
                    </a:xfrm>
                    <a:prstGeom prst="rect">
                      <a:avLst/>
                    </a:prstGeom>
                    <a:noFill/>
                    <a:ln>
                      <a:solidFill>
                        <a:schemeClr val="accent1"/>
                      </a:solidFill>
                    </a:ln>
                  </pic:spPr>
                </pic:pic>
              </a:graphicData>
            </a:graphic>
          </wp:inline>
        </w:drawing>
      </w:r>
    </w:p>
    <w:p w14:paraId="3A835581" w14:textId="700F394B" w:rsidR="002B01DF" w:rsidRPr="00F24C27" w:rsidRDefault="00436FDA" w:rsidP="002B01DF">
      <w:pPr>
        <w:pStyle w:val="Bildunterschrift"/>
        <w:rPr>
          <w:color w:val="E4032E" w:themeColor="accent3"/>
        </w:rPr>
      </w:pPr>
      <w:r>
        <w:rPr>
          <w:rFonts w:cs="Arial"/>
          <w:color w:val="000000"/>
        </w:rPr>
        <w:t xml:space="preserve">Anwendungsbeispiele des bisherigen runden </w:t>
      </w:r>
      <w:r w:rsidR="002B01DF" w:rsidRPr="00F24C27">
        <w:rPr>
          <w:rFonts w:cs="Arial"/>
          <w:color w:val="000000"/>
        </w:rPr>
        <w:t xml:space="preserve">Hygienic Dispenser </w:t>
      </w:r>
      <w:r w:rsidR="002B01DF" w:rsidRPr="00F24C27">
        <w:rPr>
          <w:rFonts w:cs="Arial"/>
        </w:rPr>
        <w:t>VHD</w:t>
      </w:r>
      <w:r w:rsidR="00FB7DCC">
        <w:rPr>
          <w:rFonts w:cs="Arial"/>
        </w:rPr>
        <w:t xml:space="preserve"> in Mehrfach</w:t>
      </w:r>
      <w:r w:rsidR="0031128D">
        <w:rPr>
          <w:rFonts w:cs="Arial"/>
        </w:rPr>
        <w:t>-A</w:t>
      </w:r>
      <w:r w:rsidR="00FB7DCC">
        <w:rPr>
          <w:rFonts w:cs="Arial"/>
        </w:rPr>
        <w:t>bfüllanlage</w:t>
      </w:r>
      <w:r w:rsidR="00B20A2F">
        <w:rPr>
          <w:rFonts w:cs="Arial"/>
        </w:rPr>
        <w:t>n</w:t>
      </w:r>
      <w:r w:rsidR="00FB7DCC">
        <w:rPr>
          <w:rFonts w:cs="Arial"/>
        </w:rPr>
        <w:t xml:space="preserve"> in der Lebensmittelindustrie</w:t>
      </w:r>
      <w:r w:rsidR="00B20A2F">
        <w:rPr>
          <w:rFonts w:cs="Arial"/>
        </w:rPr>
        <w:t xml:space="preserve"> bzw. im Bereich Consumer </w:t>
      </w:r>
      <w:proofErr w:type="spellStart"/>
      <w:r w:rsidR="00B20A2F">
        <w:rPr>
          <w:rFonts w:cs="Arial"/>
        </w:rPr>
        <w:t>Goods</w:t>
      </w:r>
      <w:proofErr w:type="spellEnd"/>
    </w:p>
    <w:p w14:paraId="413FB5E2" w14:textId="77777777" w:rsidR="002B01DF" w:rsidRPr="00F24C27" w:rsidRDefault="002B01DF" w:rsidP="00F24C27">
      <w:pPr>
        <w:pStyle w:val="Bildunterschrift"/>
        <w:rPr>
          <w:color w:val="E4032E" w:themeColor="accent3"/>
        </w:rPr>
      </w:pPr>
    </w:p>
    <w:p w14:paraId="2A5D8905" w14:textId="63E80ADA" w:rsidR="00F24C27" w:rsidRDefault="00F24C27" w:rsidP="000E2BA7">
      <w:pPr>
        <w:pStyle w:val="Subheadline"/>
      </w:pPr>
    </w:p>
    <w:p w14:paraId="16C842C6" w14:textId="63E5C936" w:rsidR="00FC02A9" w:rsidRDefault="000C311C" w:rsidP="000E2BA7">
      <w:pPr>
        <w:pStyle w:val="Subheadline"/>
      </w:pPr>
      <w:r>
        <w:rPr>
          <w:noProof/>
        </w:rPr>
        <w:drawing>
          <wp:inline distT="0" distB="0" distL="0" distR="0" wp14:anchorId="0C339C73" wp14:editId="4D99445C">
            <wp:extent cx="2328632" cy="1552575"/>
            <wp:effectExtent l="19050" t="19050" r="1460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32495" cy="1555151"/>
                    </a:xfrm>
                    <a:prstGeom prst="rect">
                      <a:avLst/>
                    </a:prstGeom>
                    <a:ln>
                      <a:solidFill>
                        <a:schemeClr val="accent1"/>
                      </a:solidFill>
                    </a:ln>
                  </pic:spPr>
                </pic:pic>
              </a:graphicData>
            </a:graphic>
          </wp:inline>
        </w:drawing>
      </w:r>
      <w:r>
        <w:t xml:space="preserve"> </w:t>
      </w:r>
    </w:p>
    <w:p w14:paraId="39DFE885" w14:textId="026B6A77" w:rsidR="00F24C27" w:rsidRDefault="003721DE" w:rsidP="003721DE">
      <w:pPr>
        <w:pStyle w:val="Bildunterschrift"/>
      </w:pPr>
      <w:r>
        <w:t>Bildquelle: Adobe Stock</w:t>
      </w:r>
    </w:p>
    <w:p w14:paraId="2853BC24" w14:textId="77777777" w:rsidR="00F24C27" w:rsidRDefault="00F24C27" w:rsidP="000E2BA7">
      <w:pPr>
        <w:pStyle w:val="Subheadline"/>
      </w:pPr>
    </w:p>
    <w:p w14:paraId="75F6BD2E" w14:textId="77777777" w:rsidR="00735290" w:rsidRDefault="00735290" w:rsidP="000E2BA7">
      <w:pPr>
        <w:pStyle w:val="Subheadline"/>
      </w:pPr>
    </w:p>
    <w:p w14:paraId="3CC64B1C" w14:textId="0F777CAD" w:rsidR="00F074B2" w:rsidRPr="00031C83" w:rsidRDefault="00F074B2" w:rsidP="000E2BA7">
      <w:pPr>
        <w:pStyle w:val="Subheadline"/>
      </w:pPr>
      <w:r w:rsidRPr="00031C83">
        <w:t>ViscoTec – Perfekt dosiert!</w:t>
      </w:r>
    </w:p>
    <w:p w14:paraId="1E3C55E1" w14:textId="77777777" w:rsidR="00F074B2" w:rsidRPr="00031C83" w:rsidRDefault="00F074B2" w:rsidP="000E2BA7">
      <w:pPr>
        <w:pStyle w:val="Fliesstext"/>
      </w:pPr>
      <w:r w:rsidRPr="00031C83">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Pr="00031C83">
        <w:t xml:space="preserve"> und </w:t>
      </w:r>
      <w:r w:rsidR="00AD3EFD" w:rsidRPr="00031C83">
        <w:t>Frankreich</w:t>
      </w:r>
      <w:r w:rsidRPr="00031C83">
        <w:t xml:space="preserve"> und beschäftigt weltweit rund </w:t>
      </w:r>
      <w:r w:rsidR="0022390C" w:rsidRPr="00031C83">
        <w:t>2</w:t>
      </w:r>
      <w:r w:rsidR="00031C83" w:rsidRPr="00031C83">
        <w:t>6</w:t>
      </w:r>
      <w:r w:rsidR="0022390C" w:rsidRPr="00031C83">
        <w:t>0</w:t>
      </w:r>
      <w:r w:rsidRPr="00031C83">
        <w:t xml:space="preserve"> Mitarbeiter.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w:t>
      </w:r>
      <w:proofErr w:type="spellStart"/>
      <w:r w:rsidRPr="00031C83">
        <w:t>mPas</w:t>
      </w:r>
      <w:proofErr w:type="spellEnd"/>
      <w:r w:rsidRPr="00031C83">
        <w:t xml:space="preserve"> aufweisen, werden praktisch pulsationsfrei und extrem scherkraftarm gefördert und dosiert. Für jede </w:t>
      </w:r>
      <w:r w:rsidRPr="00031C83">
        <w:lastRenderedPageBreak/>
        <w:t xml:space="preserve">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 und vielen weiteren Branchen.</w:t>
      </w:r>
    </w:p>
    <w:p w14:paraId="0BB75103" w14:textId="77777777" w:rsidR="00F074B2" w:rsidRPr="00031C83" w:rsidRDefault="00F074B2" w:rsidP="00F074B2">
      <w:pPr>
        <w:rPr>
          <w:rFonts w:cs="Arial"/>
        </w:rPr>
      </w:pPr>
    </w:p>
    <w:p w14:paraId="12ABA361" w14:textId="77777777" w:rsidR="00F074B2" w:rsidRPr="00031C83" w:rsidRDefault="00F074B2" w:rsidP="00C60AD4">
      <w:pPr>
        <w:spacing w:line="360" w:lineRule="auto"/>
        <w:ind w:right="1273"/>
        <w:rPr>
          <w:rFonts w:cs="Arial"/>
        </w:rPr>
      </w:pPr>
    </w:p>
    <w:p w14:paraId="5DA7780F" w14:textId="77777777" w:rsidR="00F074B2" w:rsidRPr="00031C83" w:rsidRDefault="00F074B2" w:rsidP="000E2BA7">
      <w:pPr>
        <w:pStyle w:val="Subheadline"/>
      </w:pPr>
      <w:r w:rsidRPr="00031C83">
        <w:t>Pressekontakt:</w:t>
      </w:r>
    </w:p>
    <w:p w14:paraId="7CB5BDA6" w14:textId="77777777" w:rsidR="00F074B2" w:rsidRPr="00031C83" w:rsidRDefault="001C24FD" w:rsidP="000E2BA7">
      <w:pPr>
        <w:pStyle w:val="Fliesstext"/>
      </w:pPr>
      <w:r w:rsidRPr="00031C83">
        <w:t>Melanie Hintereder</w:t>
      </w:r>
      <w:r w:rsidR="00F074B2" w:rsidRPr="00031C83">
        <w:t>, Marketing</w:t>
      </w:r>
    </w:p>
    <w:p w14:paraId="63398037" w14:textId="77777777" w:rsidR="00F074B2" w:rsidRPr="00031C83" w:rsidRDefault="00F074B2" w:rsidP="000E2BA7">
      <w:pPr>
        <w:pStyle w:val="Fliesstext"/>
      </w:pPr>
      <w:r w:rsidRPr="00031C83">
        <w:t>ViscoTec Pumpen- u. Dosiertechnik GmbH</w:t>
      </w:r>
    </w:p>
    <w:p w14:paraId="2FF8A203" w14:textId="77777777" w:rsidR="00F074B2" w:rsidRPr="00031C83" w:rsidRDefault="00F074B2" w:rsidP="000E2BA7">
      <w:pPr>
        <w:pStyle w:val="Fliesstext"/>
      </w:pPr>
      <w:proofErr w:type="spellStart"/>
      <w:r w:rsidRPr="00031C83">
        <w:t>Amperstraße</w:t>
      </w:r>
      <w:proofErr w:type="spellEnd"/>
      <w:r w:rsidRPr="00031C83">
        <w:t xml:space="preserve"> 13 | 84513 Töging a. Inn | Germany</w:t>
      </w:r>
    </w:p>
    <w:p w14:paraId="706C135F" w14:textId="77777777" w:rsidR="00F074B2" w:rsidRPr="00031C83" w:rsidRDefault="00F074B2" w:rsidP="000E2BA7">
      <w:pPr>
        <w:pStyle w:val="Fliesstext"/>
      </w:pPr>
      <w:r w:rsidRPr="00031C83">
        <w:t>Tel.: +49 8631 9274-4</w:t>
      </w:r>
      <w:r w:rsidR="001C24FD" w:rsidRPr="00031C83">
        <w:t>04</w:t>
      </w:r>
      <w:r w:rsidRPr="00031C83">
        <w:t xml:space="preserve"> </w:t>
      </w:r>
    </w:p>
    <w:p w14:paraId="7D300BE2" w14:textId="77777777" w:rsidR="00F074B2" w:rsidRPr="00031C83" w:rsidRDefault="001C24FD" w:rsidP="000E2BA7">
      <w:pPr>
        <w:pStyle w:val="Fliesstext"/>
      </w:pPr>
      <w:r w:rsidRPr="00031C83">
        <w:t>melanie.hintereder</w:t>
      </w:r>
      <w:r w:rsidR="00F074B2" w:rsidRPr="00031C83">
        <w:t>@viscotec.de | www.viscotec.de</w:t>
      </w:r>
    </w:p>
    <w:sectPr w:rsidR="00F074B2" w:rsidRPr="00031C83" w:rsidSect="004B3830">
      <w:headerReference w:type="default" r:id="rId16"/>
      <w:footerReference w:type="even" r:id="rId17"/>
      <w:footerReference w:type="default" r:id="rId18"/>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2AB0EE" w14:textId="77777777" w:rsidR="003D073D" w:rsidRDefault="003D073D">
      <w:r>
        <w:separator/>
      </w:r>
    </w:p>
  </w:endnote>
  <w:endnote w:type="continuationSeparator" w:id="0">
    <w:p w14:paraId="2CEDC2E5" w14:textId="77777777" w:rsidR="003D073D" w:rsidRDefault="003D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7EEA8" w14:textId="77777777" w:rsidR="00551F5B" w:rsidRDefault="00551F5B">
    <w:pPr>
      <w:pStyle w:val="Fuzeile"/>
    </w:pPr>
  </w:p>
  <w:p w14:paraId="0DEB578F" w14:textId="77777777" w:rsidR="00551F5B" w:rsidRDefault="00551F5B"/>
  <w:p w14:paraId="188AC917" w14:textId="77777777" w:rsidR="00551F5B" w:rsidRDefault="00551F5B"/>
  <w:p w14:paraId="1F513D6A"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003FF" w14:textId="77777777" w:rsidR="003976F5" w:rsidRDefault="003976F5" w:rsidP="003976F5">
    <w:pPr>
      <w:tabs>
        <w:tab w:val="left" w:pos="3261"/>
      </w:tabs>
      <w:rPr>
        <w:rFonts w:cs="Arial"/>
        <w:noProof/>
        <w:sz w:val="14"/>
        <w:szCs w:val="14"/>
      </w:rPr>
    </w:pPr>
  </w:p>
  <w:p w14:paraId="57B62C0C"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9D2B7F3" wp14:editId="03E7D680">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58EE78A3">
            <v:line id="Gerader Verbinder 2"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dde4f0" from=".3pt,.95pt" to="500.55pt,.95pt" w14:anchorId="1D6985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v:stroke joinstyle="miter"/>
            </v:line>
          </w:pict>
        </mc:Fallback>
      </mc:AlternateContent>
    </w:r>
  </w:p>
  <w:p w14:paraId="02C49D1B" w14:textId="77777777" w:rsidR="00B266CD" w:rsidRDefault="00B266CD" w:rsidP="003976F5">
    <w:pPr>
      <w:tabs>
        <w:tab w:val="left" w:pos="3261"/>
      </w:tabs>
      <w:rPr>
        <w:rFonts w:cs="Arial"/>
        <w:noProof/>
        <w:sz w:val="14"/>
        <w:szCs w:val="14"/>
      </w:rPr>
    </w:pPr>
  </w:p>
  <w:p w14:paraId="4BCBD8FE"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w:t>
    </w:r>
    <w:r w:rsidR="007C3631">
      <w:rPr>
        <w:rFonts w:cs="Arial"/>
        <w:noProof/>
        <w:sz w:val="14"/>
        <w:szCs w:val="14"/>
      </w:rPr>
      <w:t>08</w:t>
    </w:r>
    <w:r>
      <w:rPr>
        <w:rFonts w:cs="Arial"/>
        <w:noProof/>
        <w:sz w:val="14"/>
        <w:szCs w:val="14"/>
      </w:rPr>
      <w:t>.0</w:t>
    </w:r>
    <w:r w:rsidR="007C3631">
      <w:rPr>
        <w:rFonts w:cs="Arial"/>
        <w:noProof/>
        <w:sz w:val="14"/>
        <w:szCs w:val="14"/>
      </w:rPr>
      <w:t>1</w:t>
    </w:r>
    <w:r>
      <w:rPr>
        <w:rFonts w:cs="Arial"/>
        <w:noProof/>
        <w:sz w:val="14"/>
        <w:szCs w:val="14"/>
      </w:rPr>
      <w:t>.20</w:t>
    </w:r>
    <w:r w:rsidR="007C3631">
      <w:rPr>
        <w:rFonts w:cs="Arial"/>
        <w:noProof/>
        <w:sz w:val="14"/>
        <w:szCs w:val="14"/>
      </w:rPr>
      <w:t>20</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66506D5A" w14:textId="77777777" w:rsidR="00AE2DD9" w:rsidRDefault="00AE2DD9" w:rsidP="003976F5">
    <w:pPr>
      <w:tabs>
        <w:tab w:val="left" w:pos="450"/>
        <w:tab w:val="left" w:pos="3261"/>
        <w:tab w:val="left" w:pos="5954"/>
        <w:tab w:val="left" w:pos="8789"/>
      </w:tabs>
      <w:rPr>
        <w:rFonts w:cs="Arial"/>
        <w:b/>
        <w:noProof/>
        <w:sz w:val="14"/>
        <w:szCs w:val="14"/>
      </w:rPr>
    </w:pPr>
  </w:p>
  <w:p w14:paraId="368007D0"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68B8828A"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0974C905" w14:textId="77777777" w:rsidR="004B3830" w:rsidRDefault="004B3830" w:rsidP="00DB594E">
    <w:pPr>
      <w:tabs>
        <w:tab w:val="left" w:pos="3261"/>
      </w:tabs>
      <w:rPr>
        <w:rFonts w:cs="Arial"/>
        <w:noProof/>
        <w:color w:val="7F7F7F"/>
        <w:sz w:val="16"/>
        <w:szCs w:val="16"/>
      </w:rPr>
    </w:pPr>
  </w:p>
  <w:p w14:paraId="605072F8"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A4CCAB" w14:textId="77777777" w:rsidR="003D073D" w:rsidRDefault="003D073D">
      <w:r>
        <w:separator/>
      </w:r>
    </w:p>
  </w:footnote>
  <w:footnote w:type="continuationSeparator" w:id="0">
    <w:p w14:paraId="5F6F4109" w14:textId="77777777" w:rsidR="003D073D" w:rsidRDefault="003D0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8E9BC2"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5560EEAB" wp14:editId="02B0F5CF">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FA480E" w14:textId="77777777" w:rsidR="00DB594E" w:rsidRDefault="00DB594E">
    <w:pPr>
      <w:rPr>
        <w:rFonts w:cs="Arial"/>
        <w:sz w:val="16"/>
        <w:szCs w:val="16"/>
      </w:rPr>
    </w:pPr>
  </w:p>
  <w:p w14:paraId="16AB0E1D"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44A"/>
    <w:rsid w:val="000023E1"/>
    <w:rsid w:val="0000359E"/>
    <w:rsid w:val="00012C68"/>
    <w:rsid w:val="00031C83"/>
    <w:rsid w:val="00036722"/>
    <w:rsid w:val="00060FDA"/>
    <w:rsid w:val="00077DC7"/>
    <w:rsid w:val="0008235A"/>
    <w:rsid w:val="000857E6"/>
    <w:rsid w:val="00085A89"/>
    <w:rsid w:val="00092C13"/>
    <w:rsid w:val="000937BB"/>
    <w:rsid w:val="000964E5"/>
    <w:rsid w:val="000A1016"/>
    <w:rsid w:val="000C311C"/>
    <w:rsid w:val="000C6345"/>
    <w:rsid w:val="000D3761"/>
    <w:rsid w:val="000D7F60"/>
    <w:rsid w:val="000E2BA7"/>
    <w:rsid w:val="00121DC3"/>
    <w:rsid w:val="00125C7C"/>
    <w:rsid w:val="00130F23"/>
    <w:rsid w:val="00150577"/>
    <w:rsid w:val="00170EF2"/>
    <w:rsid w:val="00181A8E"/>
    <w:rsid w:val="001827BA"/>
    <w:rsid w:val="00186D5A"/>
    <w:rsid w:val="00194215"/>
    <w:rsid w:val="001C24FD"/>
    <w:rsid w:val="001C7585"/>
    <w:rsid w:val="001D0523"/>
    <w:rsid w:val="001D6B8F"/>
    <w:rsid w:val="001D73C3"/>
    <w:rsid w:val="001D760F"/>
    <w:rsid w:val="001E381D"/>
    <w:rsid w:val="001E6A49"/>
    <w:rsid w:val="001F3160"/>
    <w:rsid w:val="001F356B"/>
    <w:rsid w:val="001F50FC"/>
    <w:rsid w:val="001F520D"/>
    <w:rsid w:val="002145DD"/>
    <w:rsid w:val="0022390C"/>
    <w:rsid w:val="00252E53"/>
    <w:rsid w:val="00253587"/>
    <w:rsid w:val="00270FE7"/>
    <w:rsid w:val="002823B0"/>
    <w:rsid w:val="00294735"/>
    <w:rsid w:val="00297513"/>
    <w:rsid w:val="002A0986"/>
    <w:rsid w:val="002B01DF"/>
    <w:rsid w:val="002B2120"/>
    <w:rsid w:val="002B507B"/>
    <w:rsid w:val="002D5CC1"/>
    <w:rsid w:val="002E2147"/>
    <w:rsid w:val="002F0B9B"/>
    <w:rsid w:val="002F1753"/>
    <w:rsid w:val="002F4234"/>
    <w:rsid w:val="00301B89"/>
    <w:rsid w:val="0030370D"/>
    <w:rsid w:val="0031128D"/>
    <w:rsid w:val="00317406"/>
    <w:rsid w:val="00353DCC"/>
    <w:rsid w:val="00366EF8"/>
    <w:rsid w:val="003721DE"/>
    <w:rsid w:val="0037310C"/>
    <w:rsid w:val="00390802"/>
    <w:rsid w:val="00393D26"/>
    <w:rsid w:val="003976F5"/>
    <w:rsid w:val="00397B89"/>
    <w:rsid w:val="003A086F"/>
    <w:rsid w:val="003A3631"/>
    <w:rsid w:val="003D073D"/>
    <w:rsid w:val="003D224A"/>
    <w:rsid w:val="003D606D"/>
    <w:rsid w:val="003E4DB6"/>
    <w:rsid w:val="00401BBD"/>
    <w:rsid w:val="004023F4"/>
    <w:rsid w:val="004111B1"/>
    <w:rsid w:val="00426AC8"/>
    <w:rsid w:val="00431F7F"/>
    <w:rsid w:val="00436FDA"/>
    <w:rsid w:val="00441FBB"/>
    <w:rsid w:val="00454676"/>
    <w:rsid w:val="00465D3B"/>
    <w:rsid w:val="00473102"/>
    <w:rsid w:val="00475C5D"/>
    <w:rsid w:val="004B3830"/>
    <w:rsid w:val="004C6A67"/>
    <w:rsid w:val="004C76AB"/>
    <w:rsid w:val="004D28CF"/>
    <w:rsid w:val="004D715B"/>
    <w:rsid w:val="004F398D"/>
    <w:rsid w:val="004F5700"/>
    <w:rsid w:val="005019C4"/>
    <w:rsid w:val="00502176"/>
    <w:rsid w:val="0050281D"/>
    <w:rsid w:val="005075EC"/>
    <w:rsid w:val="00513156"/>
    <w:rsid w:val="0052307D"/>
    <w:rsid w:val="00532998"/>
    <w:rsid w:val="00533C74"/>
    <w:rsid w:val="00534826"/>
    <w:rsid w:val="00535911"/>
    <w:rsid w:val="005363AD"/>
    <w:rsid w:val="00536667"/>
    <w:rsid w:val="00551F5B"/>
    <w:rsid w:val="005566EC"/>
    <w:rsid w:val="005624D6"/>
    <w:rsid w:val="00562844"/>
    <w:rsid w:val="005726B7"/>
    <w:rsid w:val="00583CC5"/>
    <w:rsid w:val="0058577D"/>
    <w:rsid w:val="00586ADD"/>
    <w:rsid w:val="005A5BAB"/>
    <w:rsid w:val="005B5081"/>
    <w:rsid w:val="005C2903"/>
    <w:rsid w:val="005C3B8E"/>
    <w:rsid w:val="005D7E04"/>
    <w:rsid w:val="005F2038"/>
    <w:rsid w:val="005F5262"/>
    <w:rsid w:val="00611CE1"/>
    <w:rsid w:val="00615DEA"/>
    <w:rsid w:val="00615FFE"/>
    <w:rsid w:val="0061700A"/>
    <w:rsid w:val="006172FE"/>
    <w:rsid w:val="0062736B"/>
    <w:rsid w:val="0062759D"/>
    <w:rsid w:val="006536F5"/>
    <w:rsid w:val="00656FBE"/>
    <w:rsid w:val="00671EB4"/>
    <w:rsid w:val="006739F0"/>
    <w:rsid w:val="0067792A"/>
    <w:rsid w:val="006B3573"/>
    <w:rsid w:val="006C2656"/>
    <w:rsid w:val="006E552A"/>
    <w:rsid w:val="006E644A"/>
    <w:rsid w:val="006F198C"/>
    <w:rsid w:val="00711926"/>
    <w:rsid w:val="00711B73"/>
    <w:rsid w:val="00715D9A"/>
    <w:rsid w:val="00721738"/>
    <w:rsid w:val="00735290"/>
    <w:rsid w:val="00735BD6"/>
    <w:rsid w:val="0073733A"/>
    <w:rsid w:val="007475B9"/>
    <w:rsid w:val="007561F9"/>
    <w:rsid w:val="007602BD"/>
    <w:rsid w:val="00760510"/>
    <w:rsid w:val="00761EAD"/>
    <w:rsid w:val="00773ED5"/>
    <w:rsid w:val="0077677A"/>
    <w:rsid w:val="007801B1"/>
    <w:rsid w:val="007824A4"/>
    <w:rsid w:val="00785116"/>
    <w:rsid w:val="007B0AD8"/>
    <w:rsid w:val="007C1D15"/>
    <w:rsid w:val="007C3631"/>
    <w:rsid w:val="007C4DB2"/>
    <w:rsid w:val="007C7F33"/>
    <w:rsid w:val="007D232F"/>
    <w:rsid w:val="007F592F"/>
    <w:rsid w:val="007F738F"/>
    <w:rsid w:val="00814DD8"/>
    <w:rsid w:val="00815F00"/>
    <w:rsid w:val="0083310B"/>
    <w:rsid w:val="00836975"/>
    <w:rsid w:val="00872280"/>
    <w:rsid w:val="00873107"/>
    <w:rsid w:val="00881B09"/>
    <w:rsid w:val="008A36FE"/>
    <w:rsid w:val="008B14A5"/>
    <w:rsid w:val="008C0FD4"/>
    <w:rsid w:val="008D154F"/>
    <w:rsid w:val="008D667D"/>
    <w:rsid w:val="00904BB2"/>
    <w:rsid w:val="00910AEB"/>
    <w:rsid w:val="009139CC"/>
    <w:rsid w:val="0092628F"/>
    <w:rsid w:val="0092644F"/>
    <w:rsid w:val="009465FA"/>
    <w:rsid w:val="009467AC"/>
    <w:rsid w:val="009513E0"/>
    <w:rsid w:val="00955FB7"/>
    <w:rsid w:val="00965AEA"/>
    <w:rsid w:val="009831D7"/>
    <w:rsid w:val="0098528E"/>
    <w:rsid w:val="00985FB4"/>
    <w:rsid w:val="00986BE5"/>
    <w:rsid w:val="009A0BA0"/>
    <w:rsid w:val="009A5722"/>
    <w:rsid w:val="009C00DC"/>
    <w:rsid w:val="009D2A8B"/>
    <w:rsid w:val="009D2E29"/>
    <w:rsid w:val="009D4116"/>
    <w:rsid w:val="009E249C"/>
    <w:rsid w:val="009E68D4"/>
    <w:rsid w:val="009F40C0"/>
    <w:rsid w:val="009F51C7"/>
    <w:rsid w:val="00A06FB1"/>
    <w:rsid w:val="00A15EE2"/>
    <w:rsid w:val="00A16B40"/>
    <w:rsid w:val="00A214ED"/>
    <w:rsid w:val="00A82FFA"/>
    <w:rsid w:val="00AA1D41"/>
    <w:rsid w:val="00AA274E"/>
    <w:rsid w:val="00AC65A4"/>
    <w:rsid w:val="00AD3EFD"/>
    <w:rsid w:val="00AE2DD9"/>
    <w:rsid w:val="00AE7F67"/>
    <w:rsid w:val="00B02F22"/>
    <w:rsid w:val="00B047D2"/>
    <w:rsid w:val="00B07030"/>
    <w:rsid w:val="00B102B1"/>
    <w:rsid w:val="00B11A1C"/>
    <w:rsid w:val="00B1330C"/>
    <w:rsid w:val="00B20A2F"/>
    <w:rsid w:val="00B266CD"/>
    <w:rsid w:val="00B275C4"/>
    <w:rsid w:val="00B307C4"/>
    <w:rsid w:val="00B30813"/>
    <w:rsid w:val="00B41D41"/>
    <w:rsid w:val="00B42982"/>
    <w:rsid w:val="00B46136"/>
    <w:rsid w:val="00B505D4"/>
    <w:rsid w:val="00B61FBF"/>
    <w:rsid w:val="00B649A7"/>
    <w:rsid w:val="00B65DA7"/>
    <w:rsid w:val="00B904F9"/>
    <w:rsid w:val="00B9622B"/>
    <w:rsid w:val="00BC7E99"/>
    <w:rsid w:val="00BD5C6A"/>
    <w:rsid w:val="00BE3AD2"/>
    <w:rsid w:val="00BE6360"/>
    <w:rsid w:val="00BF1573"/>
    <w:rsid w:val="00BF37EF"/>
    <w:rsid w:val="00BF4E55"/>
    <w:rsid w:val="00C07B0A"/>
    <w:rsid w:val="00C13A2D"/>
    <w:rsid w:val="00C419B0"/>
    <w:rsid w:val="00C4324F"/>
    <w:rsid w:val="00C450E2"/>
    <w:rsid w:val="00C570CE"/>
    <w:rsid w:val="00C60AD4"/>
    <w:rsid w:val="00C67124"/>
    <w:rsid w:val="00C733AE"/>
    <w:rsid w:val="00C8683B"/>
    <w:rsid w:val="00C928C1"/>
    <w:rsid w:val="00CA12A5"/>
    <w:rsid w:val="00CA7D41"/>
    <w:rsid w:val="00CC119F"/>
    <w:rsid w:val="00CD5602"/>
    <w:rsid w:val="00CE3AC9"/>
    <w:rsid w:val="00CE60B0"/>
    <w:rsid w:val="00CF5E36"/>
    <w:rsid w:val="00D002C7"/>
    <w:rsid w:val="00D02CD0"/>
    <w:rsid w:val="00D02E03"/>
    <w:rsid w:val="00D33DD0"/>
    <w:rsid w:val="00D37FA5"/>
    <w:rsid w:val="00D60136"/>
    <w:rsid w:val="00D608FB"/>
    <w:rsid w:val="00D64379"/>
    <w:rsid w:val="00D91514"/>
    <w:rsid w:val="00D92E5D"/>
    <w:rsid w:val="00D94C64"/>
    <w:rsid w:val="00D95BA4"/>
    <w:rsid w:val="00D96389"/>
    <w:rsid w:val="00DB594E"/>
    <w:rsid w:val="00DD129A"/>
    <w:rsid w:val="00DE40A4"/>
    <w:rsid w:val="00DE5663"/>
    <w:rsid w:val="00DF3986"/>
    <w:rsid w:val="00DF7476"/>
    <w:rsid w:val="00E10EC9"/>
    <w:rsid w:val="00E66813"/>
    <w:rsid w:val="00E731C7"/>
    <w:rsid w:val="00E73B07"/>
    <w:rsid w:val="00E76D03"/>
    <w:rsid w:val="00E972A5"/>
    <w:rsid w:val="00EB6E86"/>
    <w:rsid w:val="00ED041C"/>
    <w:rsid w:val="00ED7FBF"/>
    <w:rsid w:val="00EE1DDC"/>
    <w:rsid w:val="00EF1FB8"/>
    <w:rsid w:val="00F0275E"/>
    <w:rsid w:val="00F049A2"/>
    <w:rsid w:val="00F074B2"/>
    <w:rsid w:val="00F17042"/>
    <w:rsid w:val="00F24C27"/>
    <w:rsid w:val="00F34DC7"/>
    <w:rsid w:val="00F44243"/>
    <w:rsid w:val="00F5216C"/>
    <w:rsid w:val="00F6014F"/>
    <w:rsid w:val="00F60ED1"/>
    <w:rsid w:val="00F614D9"/>
    <w:rsid w:val="00F813D7"/>
    <w:rsid w:val="00F814A0"/>
    <w:rsid w:val="00F82042"/>
    <w:rsid w:val="00F962EB"/>
    <w:rsid w:val="00FB7DCC"/>
    <w:rsid w:val="00FC02A9"/>
    <w:rsid w:val="00FD4E90"/>
    <w:rsid w:val="00FD532C"/>
    <w:rsid w:val="00FE627E"/>
    <w:rsid w:val="00FF7596"/>
    <w:rsid w:val="3685354B"/>
    <w:rsid w:val="46FF96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588479E"/>
  <w15:chartTrackingRefBased/>
  <w15:docId w15:val="{7929F758-F79D-4E5A-9AC3-68F92F77C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styleId="NichtaufgelsteErwhnung">
    <w:name w:val="Unresolved Mention"/>
    <w:basedOn w:val="Absatz-Standardschriftart"/>
    <w:uiPriority w:val="99"/>
    <w:semiHidden/>
    <w:unhideWhenUsed/>
    <w:rsid w:val="00077D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644775729">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produkte/abfuellen/"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4" ma:contentTypeDescription="Ein neues Dokument erstellen." ma:contentTypeScope="" ma:versionID="8c19d5b8aee962563db884edfda90f46">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2110869-8A7A-466A-A887-20C2E3077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7F45F7-2FEF-40FB-9D86-599D41241FC8}">
  <ds:schemaRefs>
    <ds:schemaRef ds:uri="http://schemas.openxmlformats.org/officeDocument/2006/bibliography"/>
  </ds:schemaRefs>
</ds:datastoreItem>
</file>

<file path=customXml/itemProps3.xml><?xml version="1.0" encoding="utf-8"?>
<ds:datastoreItem xmlns:ds="http://schemas.openxmlformats.org/officeDocument/2006/customXml" ds:itemID="{D5780AEE-B780-4EBF-8B34-8B65F8B3BA03}">
  <ds:schemaRefs>
    <ds:schemaRef ds:uri="http://schemas.microsoft.com/sharepoint/v3/contenttype/forms"/>
  </ds:schemaRefs>
</ds:datastoreItem>
</file>

<file path=customXml/itemProps4.xml><?xml version="1.0" encoding="utf-8"?>
<ds:datastoreItem xmlns:ds="http://schemas.openxmlformats.org/officeDocument/2006/customXml" ds:itemID="{82BBC298-AE19-4C78-A00E-EF8362010B96}">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7922725f-000b-404e-aae3-5c2dc82bec74"/>
    <ds:schemaRef ds:uri="http://schemas.microsoft.com/office/2006/documentManagement/types"/>
    <ds:schemaRef ds:uri="7dbda7b0-c355-4cc2-a9bf-6a992a3ae90b"/>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748</Words>
  <Characters>5379</Characters>
  <Application>Microsoft Office Word</Application>
  <DocSecurity>0</DocSecurity>
  <Lines>44</Lines>
  <Paragraphs>12</Paragraphs>
  <ScaleCrop>false</ScaleCrop>
  <Company>ViscoTec GmbH</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63</cp:revision>
  <cp:lastPrinted>2012-02-28T06:54:00Z</cp:lastPrinted>
  <dcterms:created xsi:type="dcterms:W3CDTF">2020-10-07T08:56:00Z</dcterms:created>
  <dcterms:modified xsi:type="dcterms:W3CDTF">2020-10-21T05:22:00Z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