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58D7C" w14:textId="77777777" w:rsidR="0042207B" w:rsidRDefault="0042207B" w:rsidP="00080B04">
      <w:pPr>
        <w:pStyle w:val="Headline1"/>
        <w:jc w:val="both"/>
      </w:pPr>
    </w:p>
    <w:p w14:paraId="10FE1B94" w14:textId="77777777" w:rsidR="0042207B" w:rsidRDefault="0042207B" w:rsidP="00080B04">
      <w:pPr>
        <w:pStyle w:val="Headline1"/>
        <w:jc w:val="both"/>
      </w:pPr>
    </w:p>
    <w:p w14:paraId="2A6B0516" w14:textId="4EB1AB1B" w:rsidR="00C450E2" w:rsidRPr="00031C83" w:rsidRDefault="00F074B2" w:rsidP="00080B04">
      <w:pPr>
        <w:pStyle w:val="Headline1"/>
        <w:jc w:val="both"/>
      </w:pPr>
      <w:r>
        <w:t>Communiqué de presse</w:t>
      </w:r>
    </w:p>
    <w:p w14:paraId="66AEEC57" w14:textId="77777777" w:rsidR="00A82FFA" w:rsidRPr="00031C83" w:rsidRDefault="00A82FFA" w:rsidP="00080B04">
      <w:pPr>
        <w:jc w:val="both"/>
      </w:pPr>
    </w:p>
    <w:p w14:paraId="5FADAD28" w14:textId="77777777" w:rsidR="00F074B2" w:rsidRPr="00031C83" w:rsidRDefault="00F074B2" w:rsidP="00080B04">
      <w:pPr>
        <w:spacing w:line="360" w:lineRule="auto"/>
        <w:ind w:right="1276"/>
        <w:jc w:val="both"/>
        <w:rPr>
          <w:rFonts w:cs="Arial"/>
          <w:b/>
          <w:bCs/>
          <w:sz w:val="28"/>
          <w:szCs w:val="28"/>
        </w:rPr>
      </w:pPr>
    </w:p>
    <w:p w14:paraId="28419960" w14:textId="49B6BC72" w:rsidR="000E2BA7" w:rsidRPr="00031C83" w:rsidRDefault="003D5495" w:rsidP="00080B04">
      <w:pPr>
        <w:pStyle w:val="Headline1"/>
        <w:jc w:val="both"/>
      </w:pPr>
      <w:r>
        <w:t>Scellement de plaques bipolaires pour piles à combustible</w:t>
      </w:r>
    </w:p>
    <w:p w14:paraId="73965FB4" w14:textId="77777777" w:rsidR="003D5495" w:rsidRDefault="003D5495" w:rsidP="00080B04">
      <w:pPr>
        <w:pStyle w:val="Subheadline"/>
        <w:jc w:val="both"/>
      </w:pPr>
    </w:p>
    <w:p w14:paraId="77A5BDEE" w14:textId="662CB0C7" w:rsidR="00F074B2" w:rsidRPr="00031C83" w:rsidRDefault="00704A54" w:rsidP="00080B04">
      <w:pPr>
        <w:pStyle w:val="Subheadline"/>
        <w:jc w:val="both"/>
      </w:pPr>
      <w:r>
        <w:t xml:space="preserve">Essais de dosage pour l'optimisation du processus au centre technique de ViscoTec </w:t>
      </w:r>
    </w:p>
    <w:p w14:paraId="2C744D4C" w14:textId="77777777" w:rsidR="000E2BA7" w:rsidRPr="00031C83" w:rsidRDefault="000E2BA7" w:rsidP="00080B04">
      <w:pPr>
        <w:pStyle w:val="Subheadline"/>
        <w:jc w:val="both"/>
      </w:pPr>
    </w:p>
    <w:p w14:paraId="5835CB23" w14:textId="77777777" w:rsidR="005609D4" w:rsidRPr="00526B60" w:rsidRDefault="005609D4" w:rsidP="00080B04">
      <w:pPr>
        <w:pStyle w:val="Fliesstext"/>
        <w:jc w:val="both"/>
      </w:pPr>
    </w:p>
    <w:p w14:paraId="57109A76" w14:textId="3CC4ADDA" w:rsidR="0099338D" w:rsidRDefault="005E23FB" w:rsidP="00CC288E">
      <w:pPr>
        <w:pStyle w:val="Presse-Fliesstext"/>
      </w:pPr>
      <w:r>
        <w:t>La demande actuelle et mondiale en faveur d'une mobilité respectueuse de l'environnement et efficace place à nouveau la technologie de la pile à combustible au centre des discussions stratégiques. Dans ce contexte, le potentiel de la pile à combustible et de l'hydrogène apparaît élevé. En considérant le marché et le degré de maturité de la technologie, on constate que les applications de la pile à combustible ne représentent certes qu'une part encore faible du marché, mais qu'elles ont déjà fortement gagné en dynamique. Dans le cadre de cette évolution, le centre technique de ViscoTec a effectué récemment des essais de dosage d'un silicone Wacker pour le scellement de plaques bipolaires pour piles à combustible.</w:t>
      </w:r>
    </w:p>
    <w:p w14:paraId="2EC9CC94" w14:textId="77777777" w:rsidR="006C7CFA" w:rsidRDefault="00CC288E" w:rsidP="009F2536">
      <w:pPr>
        <w:pStyle w:val="Presse-Fliesstext"/>
      </w:pPr>
      <w:r>
        <w:t xml:space="preserve">But des essais de dosage : appliquer le cordon d'étanchéité sur une plaque bipolaire en respectant des exigences extrêmement précises quant à la tolérance de hauteur. Ces essais permettent de déterminer les paramètres du processus et de réduire les risques afin de pouvoir en déduire continuellement des possibilités d'amélioration. Les essais ont été effectués avec le doseur bi-composants P4/4, avec une vitesse de dosage de 0,12 ml/s. La tolérance du cordon d'étanchéité était de +/- 0,05 mm, un excellent résultat, que les experts en technique de dosage souhaitent pourtant encore améliorer. </w:t>
      </w:r>
    </w:p>
    <w:p w14:paraId="406AFA5A" w14:textId="6CE4A82E" w:rsidR="00954F33" w:rsidRPr="00526B60" w:rsidRDefault="00B316E5" w:rsidP="003D5495">
      <w:pPr>
        <w:pStyle w:val="Presse-Fliesstext"/>
      </w:pPr>
      <w:r>
        <w:t xml:space="preserve">La configuration du système est adaptée aux besoins des clients et aux exigences de l'application considérée. La capacité de dosage peut, par exemple, être ajustée individuellement. En tant que fournisseur de systèmes, ViscoTec est un partenaire très demandé dans divers secteurs en matière de technique de dosage sûre, précise et adaptable. Avec l'aide d'unités de business development spéciales, des méthodes de fabrication améliorées et automatisées sont élaborées en collaboration avec des organismes de recherche, des constructeurs de machines et des clients. Ainsi, ViscoTec peut s'appuyer sur de multiples synergies, mais est également en mesure de réaliser des </w:t>
      </w:r>
      <w:r>
        <w:lastRenderedPageBreak/>
        <w:t>essais approfondis et de générer des connaissances sur les processus grâce à son propre centre technique.</w:t>
      </w:r>
    </w:p>
    <w:p w14:paraId="7FBC1B4C" w14:textId="1DE4CA80" w:rsidR="00A32F25" w:rsidRPr="00526B60" w:rsidRDefault="006830FA" w:rsidP="003D5495">
      <w:pPr>
        <w:pStyle w:val="Presse-Fliesstext"/>
      </w:pPr>
      <w:r>
        <w:t xml:space="preserve">Les experts du dosage apportent leur soutien pour la conquête du marché et entendent assurer aux clients une croissance continue également dans le </w:t>
      </w:r>
      <w:hyperlink r:id="rId11" w:history="1">
        <w:r>
          <w:rPr>
            <w:rStyle w:val="Hyperlink"/>
          </w:rPr>
          <w:t>domaine de la pile à combustible</w:t>
        </w:r>
      </w:hyperlink>
      <w:r>
        <w:t>. Les experts de la branche voient dans ce futur marché de masse un chiffre d'affaires potentiel de 65 milliards d'euros en Europe plus 65 milliards d'euros sur les marchés mondiaux.</w:t>
      </w:r>
      <w:r>
        <w:rPr>
          <w:vertAlign w:val="superscript"/>
        </w:rPr>
        <w:t>1</w:t>
      </w:r>
      <w:r>
        <w:t xml:space="preserve"> La Chine, le Japon et la Corée du Sud en particulier, mais également les États-Unis, sont à prendre en compte comme des débouchés, afin que la capacité d'exportation actuelle reste maintenue pour les entreprises nationales. Pour exploiter les futurs potentiels de création de valeur dans l'industrie de l'hydrogène et de la pile à combustible et pour rester compétitif face à la concurrence internationale, il sera indispensable de continuer à développer et renforcer les compétences existantes par des investissements dans les deux à cinq prochaines années.</w:t>
      </w:r>
    </w:p>
    <w:p w14:paraId="4900CB4D" w14:textId="28D0D5F7" w:rsidR="00F13E7E" w:rsidRDefault="00625B1A" w:rsidP="003D5495">
      <w:pPr>
        <w:pStyle w:val="Presse-Fliesstext"/>
      </w:pPr>
      <w:r>
        <w:t>La société ViscoTec est toujours prête à apporter son soutien proactif et à créer de la valeur ajoutée. En effet : si un dosage est visé pour le collage et l'étanchéification de composants tels que des plaques bipolaires, il faut que l'intérêt économique et le soin technique soient possibles même pour de petites quantités. Il est donc essentiel d'en permettre l'accès moyennant des investissements modérés. Mais aussi de garantir l'adaptabilité à l'aide d'une configuration du système bien pensée. L'adaptabilité et la dégressivité des coûts qui en découle doivent notamment être calculables pour les clients.</w:t>
      </w:r>
    </w:p>
    <w:p w14:paraId="52A7B86C" w14:textId="6D394B9E" w:rsidR="00E611ED" w:rsidRDefault="00E611ED" w:rsidP="003D5495">
      <w:pPr>
        <w:pStyle w:val="Presse-Fliesstext"/>
        <w:rPr>
          <w:sz w:val="16"/>
          <w:szCs w:val="16"/>
        </w:rPr>
      </w:pPr>
      <w:r>
        <w:rPr>
          <w:sz w:val="16"/>
          <w:vertAlign w:val="superscript"/>
        </w:rPr>
        <w:t>1</w:t>
      </w:r>
      <w:r>
        <w:rPr>
          <w:sz w:val="16"/>
        </w:rPr>
        <w:t xml:space="preserve"> </w:t>
      </w:r>
      <w:hyperlink r:id="rId12" w:history="1">
        <w:r>
          <w:rPr>
            <w:rStyle w:val="Hyperlink"/>
            <w:sz w:val="16"/>
          </w:rPr>
          <w:t>https://um.baden-wuerttemberg.de/fileadmin/redaktion/m-um/intern/Dateien/Dokumente/6_Wirtschaft/Ressourceneffizienz_und_Umwelttechnik/Wasserstoff/200724-Potentialstudie-H2-Baden-Wuerttemberg-bf.pdf</w:t>
        </w:r>
      </w:hyperlink>
    </w:p>
    <w:p w14:paraId="3AB24859" w14:textId="77777777" w:rsidR="003A6FA7" w:rsidRPr="00A6669F" w:rsidRDefault="003A6FA7" w:rsidP="00080B04">
      <w:pPr>
        <w:pStyle w:val="Fliesstext"/>
        <w:jc w:val="both"/>
      </w:pPr>
    </w:p>
    <w:p w14:paraId="4723E077" w14:textId="40CBF2B4" w:rsidR="00F074B2" w:rsidRPr="00031C83" w:rsidRDefault="00C361D0" w:rsidP="00080B04">
      <w:pPr>
        <w:pStyle w:val="Fliesstext"/>
        <w:jc w:val="both"/>
      </w:pPr>
      <w:r>
        <w:t>3 </w:t>
      </w:r>
      <w:r w:rsidR="00703DF1">
        <w:t>762</w:t>
      </w:r>
      <w:r>
        <w:t xml:space="preserve"> caractères, espaces comprises. Reproduction libre. Justificatif demandé.</w:t>
      </w:r>
    </w:p>
    <w:p w14:paraId="46672087" w14:textId="77777777" w:rsidR="000E2BA7" w:rsidRPr="00031C83" w:rsidRDefault="000E2BA7" w:rsidP="00080B04">
      <w:pPr>
        <w:pStyle w:val="Fliesstext"/>
        <w:jc w:val="both"/>
      </w:pPr>
    </w:p>
    <w:p w14:paraId="7D57B913" w14:textId="77777777" w:rsidR="00F074B2" w:rsidRPr="00031C83" w:rsidRDefault="00F074B2" w:rsidP="00080B04">
      <w:pPr>
        <w:spacing w:line="360" w:lineRule="auto"/>
        <w:ind w:right="1273"/>
        <w:jc w:val="both"/>
        <w:rPr>
          <w:rFonts w:cs="Arial"/>
        </w:rPr>
      </w:pPr>
    </w:p>
    <w:p w14:paraId="29640C88" w14:textId="77777777" w:rsidR="00F074B2" w:rsidRPr="00031C83" w:rsidRDefault="00C60AD4" w:rsidP="00080B04">
      <w:pPr>
        <w:pStyle w:val="Subheadline"/>
        <w:jc w:val="both"/>
      </w:pPr>
      <w:r>
        <w:t>Photo :</w:t>
      </w:r>
    </w:p>
    <w:p w14:paraId="7E419658" w14:textId="77777777" w:rsidR="000E2BA7" w:rsidRPr="00031C83" w:rsidRDefault="000E2BA7" w:rsidP="00080B04">
      <w:pPr>
        <w:pStyle w:val="Subheadline"/>
        <w:jc w:val="both"/>
      </w:pPr>
    </w:p>
    <w:p w14:paraId="35319F1D" w14:textId="63EA24E2" w:rsidR="00F074B2" w:rsidRDefault="00F074B2" w:rsidP="00080B04">
      <w:pPr>
        <w:pStyle w:val="StandardWeb"/>
        <w:spacing w:line="360" w:lineRule="auto"/>
        <w:ind w:right="1273"/>
        <w:jc w:val="both"/>
        <w:rPr>
          <w:rFonts w:cs="Arial"/>
        </w:rPr>
      </w:pPr>
    </w:p>
    <w:p w14:paraId="01445E32" w14:textId="77777777" w:rsidR="00F7466A" w:rsidRDefault="00F7466A" w:rsidP="00080B04">
      <w:pPr>
        <w:pStyle w:val="StandardWeb"/>
        <w:spacing w:line="360" w:lineRule="auto"/>
        <w:ind w:right="1273"/>
        <w:jc w:val="both"/>
        <w:rPr>
          <w:rFonts w:cs="Arial"/>
        </w:rPr>
      </w:pPr>
      <w:r>
        <w:rPr>
          <w:noProof/>
        </w:rPr>
        <w:drawing>
          <wp:inline distT="0" distB="0" distL="0" distR="0" wp14:anchorId="631EB3D6" wp14:editId="391F326C">
            <wp:extent cx="1825465" cy="1028700"/>
            <wp:effectExtent l="19050" t="19050" r="22860" b="19050"/>
            <wp:docPr id="3" name="Grafik 3" descr="Essai de dosage pour l'étanchéification d'une plaque bipolaire pour pile à combust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Dosierversuch Abdichtung Bipolarplatte für Brennstoffzel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985" cy="1030684"/>
                    </a:xfrm>
                    <a:prstGeom prst="rect">
                      <a:avLst/>
                    </a:prstGeom>
                    <a:noFill/>
                    <a:ln>
                      <a:solidFill>
                        <a:schemeClr val="accent1"/>
                      </a:solidFill>
                    </a:ln>
                  </pic:spPr>
                </pic:pic>
              </a:graphicData>
            </a:graphic>
          </wp:inline>
        </w:drawing>
      </w:r>
    </w:p>
    <w:p w14:paraId="15A3271F" w14:textId="7993EF08" w:rsidR="00C30038" w:rsidRDefault="00C30038" w:rsidP="00C30038">
      <w:pPr>
        <w:pStyle w:val="Bildunterschrift"/>
        <w:jc w:val="both"/>
      </w:pPr>
      <w:r>
        <w:lastRenderedPageBreak/>
        <w:t>Essai de dosage pour l'étanchéification d'une plaque bipolaire pour pile à combustible.</w:t>
      </w:r>
    </w:p>
    <w:p w14:paraId="6A191326" w14:textId="77777777" w:rsidR="00C30038" w:rsidRDefault="00C30038" w:rsidP="00080B04">
      <w:pPr>
        <w:pStyle w:val="StandardWeb"/>
        <w:spacing w:line="360" w:lineRule="auto"/>
        <w:ind w:right="1273"/>
        <w:jc w:val="both"/>
        <w:rPr>
          <w:rFonts w:cs="Arial"/>
        </w:rPr>
      </w:pPr>
    </w:p>
    <w:p w14:paraId="0E04218A" w14:textId="241F9162" w:rsidR="00F7466A" w:rsidRPr="00031C83" w:rsidRDefault="00F7466A" w:rsidP="00080B04">
      <w:pPr>
        <w:pStyle w:val="StandardWeb"/>
        <w:spacing w:line="360" w:lineRule="auto"/>
        <w:ind w:right="1273"/>
        <w:jc w:val="both"/>
        <w:rPr>
          <w:rFonts w:cs="Arial"/>
        </w:rPr>
      </w:pPr>
      <w:r>
        <w:rPr>
          <w:noProof/>
        </w:rPr>
        <w:drawing>
          <wp:inline distT="0" distB="0" distL="0" distR="0" wp14:anchorId="6F230C21" wp14:editId="5434DD8B">
            <wp:extent cx="1914525" cy="1277302"/>
            <wp:effectExtent l="19050" t="19050" r="9525" b="18415"/>
            <wp:docPr id="4" name="Grafik 4" descr="Dosage de haute préc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Hochpräzises Dosierergebni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9672" cy="1287408"/>
                    </a:xfrm>
                    <a:prstGeom prst="rect">
                      <a:avLst/>
                    </a:prstGeom>
                    <a:noFill/>
                    <a:ln>
                      <a:solidFill>
                        <a:schemeClr val="accent1"/>
                      </a:solidFill>
                    </a:ln>
                  </pic:spPr>
                </pic:pic>
              </a:graphicData>
            </a:graphic>
          </wp:inline>
        </w:drawing>
      </w:r>
    </w:p>
    <w:p w14:paraId="4BB1D9CD" w14:textId="3A57A133" w:rsidR="00F074B2" w:rsidRDefault="00C30038" w:rsidP="00080B04">
      <w:pPr>
        <w:pStyle w:val="Bildunterschrift"/>
        <w:jc w:val="both"/>
      </w:pPr>
      <w:r>
        <w:t>Dosage de haute précision.</w:t>
      </w:r>
    </w:p>
    <w:p w14:paraId="6C39140F" w14:textId="64C3696D" w:rsidR="00CC6735" w:rsidRDefault="00CC6735" w:rsidP="00080B04">
      <w:pPr>
        <w:pStyle w:val="Bildunterschrift"/>
        <w:jc w:val="both"/>
      </w:pPr>
    </w:p>
    <w:p w14:paraId="37B05CAE" w14:textId="483A089A" w:rsidR="00CC6735" w:rsidRDefault="00A35FFD" w:rsidP="00080B04">
      <w:pPr>
        <w:pStyle w:val="Bildunterschrift"/>
        <w:jc w:val="both"/>
      </w:pPr>
      <w:r>
        <w:rPr>
          <w:noProof/>
        </w:rPr>
        <w:drawing>
          <wp:inline distT="0" distB="0" distL="0" distR="0" wp14:anchorId="7568DAE0" wp14:editId="2C64286F">
            <wp:extent cx="2101783" cy="914400"/>
            <wp:effectExtent l="19050" t="19050" r="13335" b="19050"/>
            <wp:docPr id="6" name="Grafik 6" descr="La pile à combust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Fokus Brennstoffzelle"/>
                    <pic:cNvPicPr/>
                  </pic:nvPicPr>
                  <pic:blipFill>
                    <a:blip r:embed="rId15"/>
                    <a:stretch>
                      <a:fillRect/>
                    </a:stretch>
                  </pic:blipFill>
                  <pic:spPr>
                    <a:xfrm>
                      <a:off x="0" y="0"/>
                      <a:ext cx="2105658" cy="916086"/>
                    </a:xfrm>
                    <a:prstGeom prst="rect">
                      <a:avLst/>
                    </a:prstGeom>
                    <a:ln>
                      <a:solidFill>
                        <a:schemeClr val="accent1"/>
                      </a:solidFill>
                    </a:ln>
                  </pic:spPr>
                </pic:pic>
              </a:graphicData>
            </a:graphic>
          </wp:inline>
        </w:drawing>
      </w:r>
    </w:p>
    <w:p w14:paraId="08A7F5F7" w14:textId="7DC8BE8B" w:rsidR="00A35FFD" w:rsidRDefault="00E56E16" w:rsidP="00080B04">
      <w:pPr>
        <w:pStyle w:val="Bildunterschrift"/>
        <w:jc w:val="both"/>
      </w:pPr>
      <w:r>
        <w:t>La pile à combustible</w:t>
      </w:r>
    </w:p>
    <w:p w14:paraId="595C1AE7" w14:textId="77777777" w:rsidR="00C45342" w:rsidRDefault="00C45342" w:rsidP="00080B04">
      <w:pPr>
        <w:pStyle w:val="Bildunterschrift"/>
        <w:jc w:val="both"/>
      </w:pPr>
    </w:p>
    <w:p w14:paraId="19F2B6D8" w14:textId="4CB23D35" w:rsidR="00C45342" w:rsidRDefault="00C45342" w:rsidP="00080B04">
      <w:pPr>
        <w:pStyle w:val="Bildunterschrift"/>
        <w:jc w:val="both"/>
      </w:pPr>
      <w:r>
        <w:rPr>
          <w:noProof/>
        </w:rPr>
        <w:drawing>
          <wp:inline distT="0" distB="0" distL="0" distR="0" wp14:anchorId="6CE2FAAF" wp14:editId="28C6EFD8">
            <wp:extent cx="2120265" cy="1879436"/>
            <wp:effectExtent l="19050" t="19050" r="13335" b="26035"/>
            <wp:docPr id="7" name="Grafik 7" descr="Constitution d'une pile à combust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Aufbau Brennstoffzellenstapel"/>
                    <pic:cNvPicPr/>
                  </pic:nvPicPr>
                  <pic:blipFill>
                    <a:blip r:embed="rId16"/>
                    <a:stretch>
                      <a:fillRect/>
                    </a:stretch>
                  </pic:blipFill>
                  <pic:spPr>
                    <a:xfrm>
                      <a:off x="0" y="0"/>
                      <a:ext cx="2133182" cy="1890886"/>
                    </a:xfrm>
                    <a:prstGeom prst="rect">
                      <a:avLst/>
                    </a:prstGeom>
                    <a:ln>
                      <a:solidFill>
                        <a:schemeClr val="accent1"/>
                      </a:solidFill>
                    </a:ln>
                  </pic:spPr>
                </pic:pic>
              </a:graphicData>
            </a:graphic>
          </wp:inline>
        </w:drawing>
      </w:r>
    </w:p>
    <w:p w14:paraId="7EC090D2" w14:textId="6E02D596" w:rsidR="00C45342" w:rsidRDefault="00A776D5" w:rsidP="00C45342">
      <w:pPr>
        <w:pStyle w:val="Bildunterschrift"/>
        <w:jc w:val="both"/>
      </w:pPr>
      <w:r>
        <w:t>Constitution d'une pile à combustible</w:t>
      </w:r>
    </w:p>
    <w:p w14:paraId="62159483" w14:textId="77777777" w:rsidR="00C45342" w:rsidRDefault="00C45342" w:rsidP="00080B04">
      <w:pPr>
        <w:pStyle w:val="Bildunterschrift"/>
        <w:jc w:val="both"/>
      </w:pPr>
    </w:p>
    <w:p w14:paraId="2A2E6035" w14:textId="77777777" w:rsidR="00E56E16" w:rsidRPr="00031C83" w:rsidRDefault="00E56E16" w:rsidP="00080B04">
      <w:pPr>
        <w:pStyle w:val="Bildunterschrift"/>
        <w:jc w:val="both"/>
      </w:pPr>
    </w:p>
    <w:p w14:paraId="00FD6525" w14:textId="77777777" w:rsidR="00F074B2" w:rsidRPr="00031C83" w:rsidRDefault="00F074B2" w:rsidP="00080B04">
      <w:pPr>
        <w:pStyle w:val="Subheadline"/>
        <w:jc w:val="both"/>
      </w:pPr>
      <w:r>
        <w:t>ViscoTec – Le dosage à la perfection !</w:t>
      </w:r>
    </w:p>
    <w:p w14:paraId="141DDD7D" w14:textId="77777777" w:rsidR="00F074B2" w:rsidRPr="00031C83" w:rsidRDefault="00F074B2" w:rsidP="00080B04">
      <w:pPr>
        <w:pStyle w:val="Fliesstext"/>
        <w:jc w:val="both"/>
      </w:pPr>
      <w:r>
        <w:t xml:space="preserve">ViscoTec Pumpen- u. Dosiertechnik GmbH fabrique des systèmes nécessaires au refoulement, au dosage, à l'application, au remplissage et au prélèvement de fluides de viscosité moyenne à élevée. Le leader technologique a son siège à Töging a. Inn (en Bavière, près de Munich). ViscoTec possède également des filiales aux USA, en Chine, à Singapour, en Inde et en France et emploie environ 270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tous les composants est ainsi garantie. Toutes les matières, dont certaines présentent une viscosité pouvant atteindre 7 000 000 mPas,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w:t>
      </w:r>
      <w:r>
        <w:lastRenderedPageBreak/>
        <w:t>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58C6BBDB" w14:textId="77777777" w:rsidR="00F074B2" w:rsidRPr="00031C83" w:rsidRDefault="00F074B2" w:rsidP="00080B04">
      <w:pPr>
        <w:jc w:val="both"/>
        <w:rPr>
          <w:rFonts w:cs="Arial"/>
        </w:rPr>
      </w:pPr>
    </w:p>
    <w:p w14:paraId="5B21B5C8" w14:textId="77777777" w:rsidR="00F074B2" w:rsidRPr="00031C83" w:rsidRDefault="00F074B2" w:rsidP="00080B04">
      <w:pPr>
        <w:spacing w:line="360" w:lineRule="auto"/>
        <w:ind w:right="1273"/>
        <w:jc w:val="both"/>
        <w:rPr>
          <w:rFonts w:cs="Arial"/>
        </w:rPr>
      </w:pPr>
    </w:p>
    <w:p w14:paraId="3747AD7F" w14:textId="77777777" w:rsidR="00F074B2" w:rsidRPr="00911AA3" w:rsidRDefault="00F074B2" w:rsidP="00080B04">
      <w:pPr>
        <w:pStyle w:val="Subheadline"/>
        <w:jc w:val="both"/>
        <w:rPr>
          <w:lang w:val="de-DE"/>
        </w:rPr>
      </w:pPr>
      <w:r w:rsidRPr="00911AA3">
        <w:rPr>
          <w:lang w:val="de-DE"/>
        </w:rPr>
        <w:t>Contact presse :</w:t>
      </w:r>
    </w:p>
    <w:p w14:paraId="53D7B3EE" w14:textId="25E2D57D" w:rsidR="00F074B2" w:rsidRPr="00911AA3" w:rsidRDefault="00B10732" w:rsidP="00080B04">
      <w:pPr>
        <w:pStyle w:val="Fliesstext"/>
        <w:jc w:val="both"/>
        <w:rPr>
          <w:lang w:val="de-DE"/>
        </w:rPr>
      </w:pPr>
      <w:r>
        <w:rPr>
          <w:lang w:val="de-DE"/>
        </w:rPr>
        <w:t>Lisa Kiesenbauer</w:t>
      </w:r>
      <w:r w:rsidR="001C24FD" w:rsidRPr="00911AA3">
        <w:rPr>
          <w:lang w:val="de-DE"/>
        </w:rPr>
        <w:t>, Marketing</w:t>
      </w:r>
    </w:p>
    <w:p w14:paraId="151EA6A7" w14:textId="77777777" w:rsidR="00F074B2" w:rsidRPr="00911AA3" w:rsidRDefault="00F074B2" w:rsidP="00080B04">
      <w:pPr>
        <w:pStyle w:val="Fliesstext"/>
        <w:jc w:val="both"/>
        <w:rPr>
          <w:lang w:val="de-DE"/>
        </w:rPr>
      </w:pPr>
      <w:r w:rsidRPr="00911AA3">
        <w:rPr>
          <w:lang w:val="de-DE"/>
        </w:rPr>
        <w:t>ViscoTec Pumpen- u. Dosiertechnik GmbH</w:t>
      </w:r>
    </w:p>
    <w:p w14:paraId="53EC0B71" w14:textId="77777777" w:rsidR="00F074B2" w:rsidRPr="00031C83" w:rsidRDefault="00F074B2" w:rsidP="00080B04">
      <w:pPr>
        <w:pStyle w:val="Fliesstext"/>
        <w:jc w:val="both"/>
      </w:pPr>
      <w:r>
        <w:t>Amperstraße 13 | 84513 Töging a. Inn | Germany</w:t>
      </w:r>
    </w:p>
    <w:p w14:paraId="217FBF6D" w14:textId="43B7CD13" w:rsidR="00F074B2" w:rsidRPr="00031C83" w:rsidRDefault="00F074B2" w:rsidP="00080B04">
      <w:pPr>
        <w:pStyle w:val="Fliesstext"/>
        <w:jc w:val="both"/>
      </w:pPr>
      <w:r>
        <w:t>Tél. : +49 8631 9274-</w:t>
      </w:r>
      <w:r w:rsidR="00B10732">
        <w:t>0</w:t>
      </w:r>
      <w:r>
        <w:t xml:space="preserve"> </w:t>
      </w:r>
    </w:p>
    <w:p w14:paraId="3CDF761D" w14:textId="58FCCC15" w:rsidR="00F074B2" w:rsidRPr="00031C83" w:rsidRDefault="00B10732" w:rsidP="00080B04">
      <w:pPr>
        <w:pStyle w:val="Fliesstext"/>
        <w:jc w:val="both"/>
      </w:pPr>
      <w:r>
        <w:t>lisa.kiesenbauer</w:t>
      </w:r>
      <w:r w:rsidR="001C24FD">
        <w:t>@viscotec.de | www.viscotec.de</w:t>
      </w:r>
    </w:p>
    <w:sectPr w:rsidR="00F074B2" w:rsidRPr="00031C83"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EAD4B" w14:textId="77777777" w:rsidR="00E517F5" w:rsidRDefault="00E517F5">
      <w:r>
        <w:separator/>
      </w:r>
    </w:p>
  </w:endnote>
  <w:endnote w:type="continuationSeparator" w:id="0">
    <w:p w14:paraId="1D1136BC" w14:textId="77777777" w:rsidR="00E517F5" w:rsidRDefault="00E5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423E" w14:textId="77777777" w:rsidR="00551F5B" w:rsidRDefault="00551F5B">
    <w:pPr>
      <w:pStyle w:val="Fuzeile"/>
    </w:pPr>
  </w:p>
  <w:p w14:paraId="3119355E" w14:textId="77777777" w:rsidR="00551F5B" w:rsidRDefault="00551F5B"/>
  <w:p w14:paraId="2F211FC1" w14:textId="77777777" w:rsidR="00551F5B" w:rsidRDefault="00551F5B"/>
  <w:p w14:paraId="24CC095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C9E7" w14:textId="77777777" w:rsidR="003976F5" w:rsidRDefault="003976F5" w:rsidP="003976F5">
    <w:pPr>
      <w:tabs>
        <w:tab w:val="left" w:pos="3261"/>
      </w:tabs>
      <w:rPr>
        <w:rFonts w:cs="Arial"/>
        <w:noProof/>
        <w:sz w:val="14"/>
        <w:szCs w:val="14"/>
      </w:rPr>
    </w:pPr>
  </w:p>
  <w:p w14:paraId="56C19961"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74CC5AA4" wp14:editId="5EBE299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F5810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C25FED2" w14:textId="77777777" w:rsidR="00B266CD" w:rsidRDefault="00B266CD" w:rsidP="003976F5">
    <w:pPr>
      <w:tabs>
        <w:tab w:val="left" w:pos="3261"/>
      </w:tabs>
      <w:rPr>
        <w:rFonts w:cs="Arial"/>
        <w:noProof/>
        <w:sz w:val="14"/>
        <w:szCs w:val="14"/>
      </w:rPr>
    </w:pPr>
  </w:p>
  <w:p w14:paraId="38AD9D4D" w14:textId="77777777" w:rsidR="00B266CD" w:rsidRPr="00500C2D" w:rsidRDefault="00090F53" w:rsidP="00B266CD">
    <w:pPr>
      <w:tabs>
        <w:tab w:val="left" w:pos="450"/>
        <w:tab w:val="left" w:pos="3261"/>
        <w:tab w:val="left" w:pos="5954"/>
        <w:tab w:val="left" w:pos="8789"/>
      </w:tabs>
      <w:rPr>
        <w:rFonts w:cs="Arial"/>
        <w:noProof/>
        <w:sz w:val="14"/>
        <w:szCs w:val="14"/>
        <w:lang w:val="de-DE"/>
      </w:rPr>
    </w:pPr>
    <w:r>
      <w:rPr>
        <w:color w:val="7F7F7F"/>
        <w:sz w:val="14"/>
      </w:rPr>
      <w:tab/>
    </w:r>
    <w:r>
      <w:rPr>
        <w:color w:val="7F7F7F"/>
        <w:sz w:val="14"/>
      </w:rPr>
      <w:tab/>
    </w:r>
    <w:r w:rsidRPr="00500C2D">
      <w:rPr>
        <w:sz w:val="14"/>
        <w:lang w:val="de-DE"/>
      </w:rPr>
      <w:t xml:space="preserve"> </w:t>
    </w:r>
    <w:r w:rsidRPr="00500C2D">
      <w:rPr>
        <w:color w:val="7F7F7F"/>
        <w:sz w:val="14"/>
        <w:lang w:val="de-DE"/>
      </w:rPr>
      <w:tab/>
    </w:r>
    <w:r w:rsidRPr="00500C2D">
      <w:rPr>
        <w:sz w:val="14"/>
        <w:lang w:val="de-DE"/>
      </w:rPr>
      <w:tab/>
      <w:t xml:space="preserve">Page </w:t>
    </w:r>
    <w:r w:rsidR="00B266CD" w:rsidRPr="003976F5">
      <w:rPr>
        <w:rFonts w:cs="Arial"/>
        <w:sz w:val="14"/>
      </w:rPr>
      <w:fldChar w:fldCharType="begin"/>
    </w:r>
    <w:r w:rsidR="00B266CD" w:rsidRPr="00500C2D">
      <w:rPr>
        <w:rFonts w:cs="Arial"/>
        <w:sz w:val="14"/>
        <w:lang w:val="de-DE"/>
      </w:rPr>
      <w:instrText xml:space="preserve"> PAGE </w:instrText>
    </w:r>
    <w:r w:rsidR="00B266CD" w:rsidRPr="003976F5">
      <w:rPr>
        <w:rFonts w:cs="Arial"/>
        <w:sz w:val="14"/>
      </w:rPr>
      <w:fldChar w:fldCharType="separate"/>
    </w:r>
    <w:r w:rsidR="00B266CD" w:rsidRPr="00500C2D">
      <w:rPr>
        <w:rFonts w:cs="Arial"/>
        <w:sz w:val="14"/>
        <w:lang w:val="de-DE"/>
      </w:rPr>
      <w:t>1</w:t>
    </w:r>
    <w:r w:rsidR="00B266CD" w:rsidRPr="003976F5">
      <w:rPr>
        <w:rFonts w:cs="Arial"/>
        <w:sz w:val="14"/>
      </w:rPr>
      <w:fldChar w:fldCharType="end"/>
    </w:r>
    <w:r w:rsidRPr="00500C2D">
      <w:rPr>
        <w:sz w:val="14"/>
        <w:lang w:val="de-DE"/>
      </w:rPr>
      <w:t xml:space="preserve"> sur </w:t>
    </w:r>
    <w:r w:rsidR="00B266CD" w:rsidRPr="003976F5">
      <w:rPr>
        <w:rFonts w:cs="Arial"/>
        <w:sz w:val="14"/>
      </w:rPr>
      <w:fldChar w:fldCharType="begin"/>
    </w:r>
    <w:r w:rsidR="00B266CD" w:rsidRPr="00500C2D">
      <w:rPr>
        <w:rFonts w:cs="Arial"/>
        <w:sz w:val="14"/>
        <w:lang w:val="de-DE"/>
      </w:rPr>
      <w:instrText xml:space="preserve"> NUMPAGES  </w:instrText>
    </w:r>
    <w:r w:rsidR="00B266CD" w:rsidRPr="003976F5">
      <w:rPr>
        <w:rFonts w:cs="Arial"/>
        <w:sz w:val="14"/>
      </w:rPr>
      <w:fldChar w:fldCharType="separate"/>
    </w:r>
    <w:r w:rsidR="00B266CD" w:rsidRPr="00500C2D">
      <w:rPr>
        <w:rFonts w:cs="Arial"/>
        <w:sz w:val="14"/>
        <w:lang w:val="de-DE"/>
      </w:rPr>
      <w:t>1</w:t>
    </w:r>
    <w:r w:rsidR="00B266CD" w:rsidRPr="003976F5">
      <w:rPr>
        <w:rFonts w:cs="Arial"/>
        <w:sz w:val="14"/>
      </w:rPr>
      <w:fldChar w:fldCharType="end"/>
    </w:r>
  </w:p>
  <w:p w14:paraId="777852BC" w14:textId="77777777" w:rsidR="00AE2DD9" w:rsidRPr="00500C2D" w:rsidRDefault="00AE2DD9" w:rsidP="003976F5">
    <w:pPr>
      <w:tabs>
        <w:tab w:val="left" w:pos="450"/>
        <w:tab w:val="left" w:pos="3261"/>
        <w:tab w:val="left" w:pos="5954"/>
        <w:tab w:val="left" w:pos="8789"/>
      </w:tabs>
      <w:rPr>
        <w:rFonts w:cs="Arial"/>
        <w:b/>
        <w:noProof/>
        <w:sz w:val="14"/>
        <w:szCs w:val="14"/>
        <w:lang w:val="de-DE"/>
      </w:rPr>
    </w:pPr>
  </w:p>
  <w:p w14:paraId="5E0AE63D" w14:textId="77777777" w:rsidR="00DB594E" w:rsidRPr="00500C2D" w:rsidRDefault="00DB594E" w:rsidP="003976F5">
    <w:pPr>
      <w:tabs>
        <w:tab w:val="left" w:pos="450"/>
        <w:tab w:val="left" w:pos="3261"/>
        <w:tab w:val="left" w:pos="5954"/>
        <w:tab w:val="left" w:pos="8789"/>
      </w:tabs>
      <w:rPr>
        <w:rFonts w:cs="Arial"/>
        <w:noProof/>
        <w:color w:val="7F7F7F"/>
        <w:sz w:val="14"/>
        <w:szCs w:val="14"/>
        <w:lang w:val="de-DE"/>
      </w:rPr>
    </w:pPr>
    <w:r w:rsidRPr="00500C2D">
      <w:rPr>
        <w:b/>
        <w:sz w:val="14"/>
        <w:lang w:val="de-DE"/>
      </w:rPr>
      <w:t>ViscoTec</w:t>
    </w:r>
    <w:r w:rsidRPr="00500C2D">
      <w:rPr>
        <w:sz w:val="14"/>
        <w:lang w:val="de-DE"/>
      </w:rPr>
      <w:tab/>
      <w:t>Amperstraße 13</w:t>
    </w:r>
    <w:r w:rsidRPr="00500C2D">
      <w:rPr>
        <w:color w:val="7F7F7F"/>
        <w:sz w:val="14"/>
        <w:lang w:val="de-DE"/>
      </w:rPr>
      <w:tab/>
    </w:r>
    <w:r w:rsidRPr="00500C2D">
      <w:rPr>
        <w:b/>
        <w:color w:val="00B0F0"/>
        <w:sz w:val="14"/>
        <w:lang w:val="de-DE"/>
      </w:rPr>
      <w:t>T</w:t>
    </w:r>
    <w:r w:rsidRPr="00500C2D">
      <w:rPr>
        <w:color w:val="7F7F7F"/>
        <w:sz w:val="14"/>
        <w:lang w:val="de-DE"/>
      </w:rPr>
      <w:t xml:space="preserve">  </w:t>
    </w:r>
    <w:r w:rsidRPr="00500C2D">
      <w:rPr>
        <w:sz w:val="14"/>
        <w:lang w:val="de-DE"/>
      </w:rPr>
      <w:t>+49 8631 9274-0</w:t>
    </w:r>
    <w:r w:rsidRPr="00500C2D">
      <w:rPr>
        <w:color w:val="7F7F7F"/>
        <w:sz w:val="14"/>
        <w:lang w:val="de-DE"/>
      </w:rPr>
      <w:tab/>
    </w:r>
    <w:r w:rsidRPr="00500C2D">
      <w:rPr>
        <w:b/>
        <w:color w:val="00B0F0"/>
        <w:sz w:val="14"/>
        <w:lang w:val="de-DE"/>
      </w:rPr>
      <w:t>W</w:t>
    </w:r>
    <w:r w:rsidRPr="00500C2D">
      <w:rPr>
        <w:color w:val="7F7F7F"/>
        <w:sz w:val="14"/>
        <w:lang w:val="de-DE"/>
      </w:rPr>
      <w:t xml:space="preserve"> </w:t>
    </w:r>
    <w:r w:rsidRPr="00500C2D">
      <w:rPr>
        <w:color w:val="7F7F7F"/>
        <w:sz w:val="20"/>
        <w:lang w:val="de-DE"/>
      </w:rPr>
      <w:t xml:space="preserve"> </w:t>
    </w:r>
    <w:r w:rsidRPr="00500C2D">
      <w:rPr>
        <w:sz w:val="14"/>
        <w:lang w:val="de-DE"/>
      </w:rPr>
      <w:t xml:space="preserve">www.viscotec.de </w:t>
    </w:r>
  </w:p>
  <w:p w14:paraId="632F9A62" w14:textId="77777777" w:rsidR="004B3830" w:rsidRPr="00911AA3"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911AA3">
      <w:rPr>
        <w:b/>
        <w:sz w:val="14"/>
        <w:lang w:val="de-DE"/>
      </w:rPr>
      <w:t>Pumpen- u. Dosiertechnik GmbH</w:t>
    </w:r>
    <w:r w:rsidRPr="00911AA3">
      <w:rPr>
        <w:sz w:val="14"/>
        <w:lang w:val="de-DE"/>
      </w:rPr>
      <w:tab/>
      <w:t>D-84513 Töging a. Inn</w:t>
    </w:r>
    <w:r w:rsidRPr="00911AA3">
      <w:rPr>
        <w:color w:val="7F7F7F"/>
        <w:sz w:val="14"/>
        <w:lang w:val="de-DE"/>
      </w:rPr>
      <w:tab/>
    </w:r>
    <w:r w:rsidRPr="00911AA3">
      <w:rPr>
        <w:b/>
        <w:color w:val="00B0F0"/>
        <w:sz w:val="14"/>
        <w:lang w:val="de-DE"/>
      </w:rPr>
      <w:t>F</w:t>
    </w:r>
    <w:r w:rsidRPr="00911AA3">
      <w:rPr>
        <w:color w:val="7F7F7F"/>
        <w:sz w:val="14"/>
        <w:lang w:val="de-DE"/>
      </w:rPr>
      <w:t xml:space="preserve">  </w:t>
    </w:r>
    <w:r w:rsidRPr="00911AA3">
      <w:rPr>
        <w:sz w:val="14"/>
        <w:lang w:val="de-DE"/>
      </w:rPr>
      <w:t>+49 8631 9274-300</w:t>
    </w:r>
    <w:r w:rsidRPr="00911AA3">
      <w:rPr>
        <w:color w:val="7F7F7F"/>
        <w:sz w:val="14"/>
        <w:lang w:val="de-DE"/>
      </w:rPr>
      <w:tab/>
    </w:r>
    <w:r w:rsidRPr="00911AA3">
      <w:rPr>
        <w:b/>
        <w:color w:val="00B0F0"/>
        <w:sz w:val="14"/>
        <w:lang w:val="de-DE"/>
      </w:rPr>
      <w:t>E</w:t>
    </w:r>
    <w:r w:rsidRPr="00911AA3">
      <w:rPr>
        <w:color w:val="7F7F7F"/>
        <w:sz w:val="14"/>
        <w:lang w:val="de-DE"/>
      </w:rPr>
      <w:t xml:space="preserve">  </w:t>
    </w:r>
    <w:r w:rsidRPr="00911AA3">
      <w:rPr>
        <w:sz w:val="14"/>
        <w:lang w:val="de-DE"/>
      </w:rPr>
      <w:t>mail@viscotec.de</w:t>
    </w:r>
  </w:p>
  <w:p w14:paraId="344294D8" w14:textId="77777777" w:rsidR="004B3830" w:rsidRPr="00911AA3" w:rsidRDefault="004B3830" w:rsidP="00DB594E">
    <w:pPr>
      <w:tabs>
        <w:tab w:val="left" w:pos="3261"/>
      </w:tabs>
      <w:rPr>
        <w:rFonts w:cs="Arial"/>
        <w:noProof/>
        <w:color w:val="7F7F7F"/>
        <w:sz w:val="16"/>
        <w:szCs w:val="16"/>
        <w:lang w:val="de-DE"/>
      </w:rPr>
    </w:pPr>
  </w:p>
  <w:p w14:paraId="7954E3E1" w14:textId="77777777" w:rsidR="004B3830" w:rsidRPr="00911AA3"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1BCD6" w14:textId="77777777" w:rsidR="00E517F5" w:rsidRDefault="00E517F5">
      <w:r>
        <w:separator/>
      </w:r>
    </w:p>
  </w:footnote>
  <w:footnote w:type="continuationSeparator" w:id="0">
    <w:p w14:paraId="39B96736" w14:textId="77777777" w:rsidR="00E517F5" w:rsidRDefault="00E51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01E5"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0FE2BF0B" wp14:editId="08C7D1E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817EA1" w14:textId="77777777" w:rsidR="00DB594E" w:rsidRDefault="00DB594E">
    <w:pPr>
      <w:rPr>
        <w:rFonts w:cs="Arial"/>
        <w:sz w:val="16"/>
        <w:szCs w:val="16"/>
      </w:rPr>
    </w:pPr>
  </w:p>
  <w:p w14:paraId="2BE3ACC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07B"/>
    <w:rsid w:val="000023E1"/>
    <w:rsid w:val="0000359E"/>
    <w:rsid w:val="00012C68"/>
    <w:rsid w:val="00014B5A"/>
    <w:rsid w:val="00023D68"/>
    <w:rsid w:val="0003144B"/>
    <w:rsid w:val="00031C83"/>
    <w:rsid w:val="00033F52"/>
    <w:rsid w:val="00036705"/>
    <w:rsid w:val="00036722"/>
    <w:rsid w:val="0003723D"/>
    <w:rsid w:val="000436DC"/>
    <w:rsid w:val="000519E3"/>
    <w:rsid w:val="000606B0"/>
    <w:rsid w:val="00060FDA"/>
    <w:rsid w:val="00062020"/>
    <w:rsid w:val="00080B04"/>
    <w:rsid w:val="0008235A"/>
    <w:rsid w:val="000857E6"/>
    <w:rsid w:val="00085A89"/>
    <w:rsid w:val="00090F53"/>
    <w:rsid w:val="00092C13"/>
    <w:rsid w:val="000937BB"/>
    <w:rsid w:val="000C6345"/>
    <w:rsid w:val="000D7216"/>
    <w:rsid w:val="000D7F60"/>
    <w:rsid w:val="000E2BA7"/>
    <w:rsid w:val="000F2391"/>
    <w:rsid w:val="000F3829"/>
    <w:rsid w:val="00121DC3"/>
    <w:rsid w:val="00125C7C"/>
    <w:rsid w:val="00130F23"/>
    <w:rsid w:val="00150577"/>
    <w:rsid w:val="00162353"/>
    <w:rsid w:val="00170EF2"/>
    <w:rsid w:val="001753AD"/>
    <w:rsid w:val="00175FC9"/>
    <w:rsid w:val="00181A8E"/>
    <w:rsid w:val="001827BA"/>
    <w:rsid w:val="00185D67"/>
    <w:rsid w:val="00186D5A"/>
    <w:rsid w:val="00190F16"/>
    <w:rsid w:val="00194215"/>
    <w:rsid w:val="001B34B2"/>
    <w:rsid w:val="001B64C9"/>
    <w:rsid w:val="001C24FD"/>
    <w:rsid w:val="001C2595"/>
    <w:rsid w:val="001C7585"/>
    <w:rsid w:val="001D0B13"/>
    <w:rsid w:val="001D2C9C"/>
    <w:rsid w:val="001D73C3"/>
    <w:rsid w:val="001E381D"/>
    <w:rsid w:val="001F06CD"/>
    <w:rsid w:val="001F356B"/>
    <w:rsid w:val="001F3776"/>
    <w:rsid w:val="001F4419"/>
    <w:rsid w:val="001F520D"/>
    <w:rsid w:val="002145DD"/>
    <w:rsid w:val="0022390C"/>
    <w:rsid w:val="00232C91"/>
    <w:rsid w:val="00241F4D"/>
    <w:rsid w:val="00246789"/>
    <w:rsid w:val="00267869"/>
    <w:rsid w:val="00270BB2"/>
    <w:rsid w:val="00270FE7"/>
    <w:rsid w:val="002823B0"/>
    <w:rsid w:val="00287527"/>
    <w:rsid w:val="00293C6E"/>
    <w:rsid w:val="00294735"/>
    <w:rsid w:val="00297513"/>
    <w:rsid w:val="002B2120"/>
    <w:rsid w:val="002B507B"/>
    <w:rsid w:val="002D4E88"/>
    <w:rsid w:val="002E2147"/>
    <w:rsid w:val="002F1753"/>
    <w:rsid w:val="002F4234"/>
    <w:rsid w:val="00301B89"/>
    <w:rsid w:val="0030370D"/>
    <w:rsid w:val="00320BB0"/>
    <w:rsid w:val="00353DCC"/>
    <w:rsid w:val="00353EE8"/>
    <w:rsid w:val="00364EBB"/>
    <w:rsid w:val="00366EF8"/>
    <w:rsid w:val="0037310C"/>
    <w:rsid w:val="0037430A"/>
    <w:rsid w:val="003746D2"/>
    <w:rsid w:val="0038026E"/>
    <w:rsid w:val="0038582D"/>
    <w:rsid w:val="00390802"/>
    <w:rsid w:val="00393D26"/>
    <w:rsid w:val="00396C5C"/>
    <w:rsid w:val="003976F5"/>
    <w:rsid w:val="00397B89"/>
    <w:rsid w:val="003A6FA7"/>
    <w:rsid w:val="003C3264"/>
    <w:rsid w:val="003C695E"/>
    <w:rsid w:val="003D224A"/>
    <w:rsid w:val="003D5495"/>
    <w:rsid w:val="003D606D"/>
    <w:rsid w:val="00401BBD"/>
    <w:rsid w:val="004023F4"/>
    <w:rsid w:val="004111B1"/>
    <w:rsid w:val="00413EFA"/>
    <w:rsid w:val="0042207B"/>
    <w:rsid w:val="00426AC8"/>
    <w:rsid w:val="00427BE4"/>
    <w:rsid w:val="00431F7F"/>
    <w:rsid w:val="00454676"/>
    <w:rsid w:val="00473102"/>
    <w:rsid w:val="004867EE"/>
    <w:rsid w:val="00487918"/>
    <w:rsid w:val="004A5A49"/>
    <w:rsid w:val="004A66DE"/>
    <w:rsid w:val="004B3830"/>
    <w:rsid w:val="004C498E"/>
    <w:rsid w:val="004C6A67"/>
    <w:rsid w:val="004D25E7"/>
    <w:rsid w:val="004F398D"/>
    <w:rsid w:val="004F5700"/>
    <w:rsid w:val="00500C2D"/>
    <w:rsid w:val="0050281D"/>
    <w:rsid w:val="005075EC"/>
    <w:rsid w:val="00513156"/>
    <w:rsid w:val="00515151"/>
    <w:rsid w:val="0051636A"/>
    <w:rsid w:val="0052307D"/>
    <w:rsid w:val="00525A7B"/>
    <w:rsid w:val="00526B60"/>
    <w:rsid w:val="00533C74"/>
    <w:rsid w:val="00534826"/>
    <w:rsid w:val="00535911"/>
    <w:rsid w:val="005363AD"/>
    <w:rsid w:val="00551F5B"/>
    <w:rsid w:val="005566EC"/>
    <w:rsid w:val="005609D4"/>
    <w:rsid w:val="0056246C"/>
    <w:rsid w:val="005624D6"/>
    <w:rsid w:val="00562844"/>
    <w:rsid w:val="005726B7"/>
    <w:rsid w:val="00583CC5"/>
    <w:rsid w:val="005855AE"/>
    <w:rsid w:val="0058577D"/>
    <w:rsid w:val="005A2AA4"/>
    <w:rsid w:val="005B55B5"/>
    <w:rsid w:val="005C2903"/>
    <w:rsid w:val="005C40A1"/>
    <w:rsid w:val="005D7E04"/>
    <w:rsid w:val="005E23FB"/>
    <w:rsid w:val="005F2038"/>
    <w:rsid w:val="005F5262"/>
    <w:rsid w:val="00611CE1"/>
    <w:rsid w:val="00615DEA"/>
    <w:rsid w:val="0061700A"/>
    <w:rsid w:val="00617A49"/>
    <w:rsid w:val="00625B1A"/>
    <w:rsid w:val="0062736B"/>
    <w:rsid w:val="0062759D"/>
    <w:rsid w:val="006671A6"/>
    <w:rsid w:val="00671EB4"/>
    <w:rsid w:val="006830FA"/>
    <w:rsid w:val="006A3E04"/>
    <w:rsid w:val="006C2656"/>
    <w:rsid w:val="006C7CFA"/>
    <w:rsid w:val="006D2D70"/>
    <w:rsid w:val="006D349E"/>
    <w:rsid w:val="006E552A"/>
    <w:rsid w:val="006F198C"/>
    <w:rsid w:val="006F321D"/>
    <w:rsid w:val="006F340B"/>
    <w:rsid w:val="006F67CC"/>
    <w:rsid w:val="00703BDA"/>
    <w:rsid w:val="00703DF1"/>
    <w:rsid w:val="00704A54"/>
    <w:rsid w:val="00707FA3"/>
    <w:rsid w:val="00711926"/>
    <w:rsid w:val="00711B73"/>
    <w:rsid w:val="00721738"/>
    <w:rsid w:val="00735BD6"/>
    <w:rsid w:val="0073733A"/>
    <w:rsid w:val="007475B9"/>
    <w:rsid w:val="007561F9"/>
    <w:rsid w:val="007602BD"/>
    <w:rsid w:val="00760510"/>
    <w:rsid w:val="00771EBB"/>
    <w:rsid w:val="00773ED5"/>
    <w:rsid w:val="0077677A"/>
    <w:rsid w:val="00780B55"/>
    <w:rsid w:val="007824A4"/>
    <w:rsid w:val="00792C2F"/>
    <w:rsid w:val="007952D7"/>
    <w:rsid w:val="007B0AD8"/>
    <w:rsid w:val="007C1D15"/>
    <w:rsid w:val="007C3631"/>
    <w:rsid w:val="007C3A1D"/>
    <w:rsid w:val="007C4B57"/>
    <w:rsid w:val="007D0E4E"/>
    <w:rsid w:val="007D2CA0"/>
    <w:rsid w:val="007F592F"/>
    <w:rsid w:val="007F738F"/>
    <w:rsid w:val="00807B1B"/>
    <w:rsid w:val="00814DD8"/>
    <w:rsid w:val="0083310B"/>
    <w:rsid w:val="0084319A"/>
    <w:rsid w:val="00843339"/>
    <w:rsid w:val="00845059"/>
    <w:rsid w:val="008718ED"/>
    <w:rsid w:val="00872280"/>
    <w:rsid w:val="00873107"/>
    <w:rsid w:val="008819F7"/>
    <w:rsid w:val="00881B09"/>
    <w:rsid w:val="00891B88"/>
    <w:rsid w:val="0089306A"/>
    <w:rsid w:val="008A21E1"/>
    <w:rsid w:val="008A21F8"/>
    <w:rsid w:val="008A36FE"/>
    <w:rsid w:val="008B14A5"/>
    <w:rsid w:val="008B2C47"/>
    <w:rsid w:val="008B655F"/>
    <w:rsid w:val="008C0FD4"/>
    <w:rsid w:val="008C4B3D"/>
    <w:rsid w:val="008D154F"/>
    <w:rsid w:val="008D5F11"/>
    <w:rsid w:val="008E2612"/>
    <w:rsid w:val="008F4800"/>
    <w:rsid w:val="0090499E"/>
    <w:rsid w:val="00904BB2"/>
    <w:rsid w:val="00910AEB"/>
    <w:rsid w:val="00911AA3"/>
    <w:rsid w:val="009139CC"/>
    <w:rsid w:val="0092628F"/>
    <w:rsid w:val="00942559"/>
    <w:rsid w:val="009467AC"/>
    <w:rsid w:val="009513E0"/>
    <w:rsid w:val="00954D14"/>
    <w:rsid w:val="00954F33"/>
    <w:rsid w:val="00965AEA"/>
    <w:rsid w:val="00975A2C"/>
    <w:rsid w:val="0098528E"/>
    <w:rsid w:val="00985FB4"/>
    <w:rsid w:val="00986BE5"/>
    <w:rsid w:val="0099338D"/>
    <w:rsid w:val="009A5722"/>
    <w:rsid w:val="009A57B1"/>
    <w:rsid w:val="009C4E1B"/>
    <w:rsid w:val="009D2A8B"/>
    <w:rsid w:val="009D2E29"/>
    <w:rsid w:val="009D4116"/>
    <w:rsid w:val="009E02E6"/>
    <w:rsid w:val="009E249C"/>
    <w:rsid w:val="009F2536"/>
    <w:rsid w:val="009F51C7"/>
    <w:rsid w:val="009F5824"/>
    <w:rsid w:val="00A15EE2"/>
    <w:rsid w:val="00A16B40"/>
    <w:rsid w:val="00A214ED"/>
    <w:rsid w:val="00A22E89"/>
    <w:rsid w:val="00A26894"/>
    <w:rsid w:val="00A308C0"/>
    <w:rsid w:val="00A32F25"/>
    <w:rsid w:val="00A35FFD"/>
    <w:rsid w:val="00A36FD8"/>
    <w:rsid w:val="00A46736"/>
    <w:rsid w:val="00A6669F"/>
    <w:rsid w:val="00A67389"/>
    <w:rsid w:val="00A776D5"/>
    <w:rsid w:val="00A8219B"/>
    <w:rsid w:val="00A82FFA"/>
    <w:rsid w:val="00AA274E"/>
    <w:rsid w:val="00AB555B"/>
    <w:rsid w:val="00AC65A4"/>
    <w:rsid w:val="00AC7F15"/>
    <w:rsid w:val="00AD0E89"/>
    <w:rsid w:val="00AD3EFD"/>
    <w:rsid w:val="00AD4F4E"/>
    <w:rsid w:val="00AE2DD9"/>
    <w:rsid w:val="00AE32C7"/>
    <w:rsid w:val="00AE7F67"/>
    <w:rsid w:val="00B02F22"/>
    <w:rsid w:val="00B03382"/>
    <w:rsid w:val="00B065FA"/>
    <w:rsid w:val="00B07030"/>
    <w:rsid w:val="00B10732"/>
    <w:rsid w:val="00B118BF"/>
    <w:rsid w:val="00B11A1C"/>
    <w:rsid w:val="00B126F8"/>
    <w:rsid w:val="00B1330C"/>
    <w:rsid w:val="00B266CD"/>
    <w:rsid w:val="00B275C4"/>
    <w:rsid w:val="00B30813"/>
    <w:rsid w:val="00B316E5"/>
    <w:rsid w:val="00B3264E"/>
    <w:rsid w:val="00B41D41"/>
    <w:rsid w:val="00B42982"/>
    <w:rsid w:val="00B52F19"/>
    <w:rsid w:val="00B61482"/>
    <w:rsid w:val="00B61FBF"/>
    <w:rsid w:val="00B65DA7"/>
    <w:rsid w:val="00B902AC"/>
    <w:rsid w:val="00B904F9"/>
    <w:rsid w:val="00B9622B"/>
    <w:rsid w:val="00BB0DAA"/>
    <w:rsid w:val="00BE3AD2"/>
    <w:rsid w:val="00BE4214"/>
    <w:rsid w:val="00BE6360"/>
    <w:rsid w:val="00BF37EF"/>
    <w:rsid w:val="00BF4E55"/>
    <w:rsid w:val="00C00B02"/>
    <w:rsid w:val="00C02A29"/>
    <w:rsid w:val="00C04ACB"/>
    <w:rsid w:val="00C13A2D"/>
    <w:rsid w:val="00C27CFF"/>
    <w:rsid w:val="00C30038"/>
    <w:rsid w:val="00C361D0"/>
    <w:rsid w:val="00C419B0"/>
    <w:rsid w:val="00C450E2"/>
    <w:rsid w:val="00C45342"/>
    <w:rsid w:val="00C60AD4"/>
    <w:rsid w:val="00C67124"/>
    <w:rsid w:val="00C733AE"/>
    <w:rsid w:val="00C928C1"/>
    <w:rsid w:val="00C95276"/>
    <w:rsid w:val="00CA7D41"/>
    <w:rsid w:val="00CC288E"/>
    <w:rsid w:val="00CC371F"/>
    <w:rsid w:val="00CC6735"/>
    <w:rsid w:val="00CD5602"/>
    <w:rsid w:val="00CD73F4"/>
    <w:rsid w:val="00CE60B0"/>
    <w:rsid w:val="00CF28CD"/>
    <w:rsid w:val="00CF5E36"/>
    <w:rsid w:val="00D002C7"/>
    <w:rsid w:val="00D02E03"/>
    <w:rsid w:val="00D33DD0"/>
    <w:rsid w:val="00D3643A"/>
    <w:rsid w:val="00D60136"/>
    <w:rsid w:val="00D601DB"/>
    <w:rsid w:val="00D64379"/>
    <w:rsid w:val="00D86DE9"/>
    <w:rsid w:val="00D91514"/>
    <w:rsid w:val="00D92E5D"/>
    <w:rsid w:val="00D94C64"/>
    <w:rsid w:val="00D95BA4"/>
    <w:rsid w:val="00D96389"/>
    <w:rsid w:val="00DB4B92"/>
    <w:rsid w:val="00DB594E"/>
    <w:rsid w:val="00DB65A6"/>
    <w:rsid w:val="00DC622E"/>
    <w:rsid w:val="00DD1837"/>
    <w:rsid w:val="00DD43E1"/>
    <w:rsid w:val="00DE0BF2"/>
    <w:rsid w:val="00DE5663"/>
    <w:rsid w:val="00DF425C"/>
    <w:rsid w:val="00E01503"/>
    <w:rsid w:val="00E037F8"/>
    <w:rsid w:val="00E218CD"/>
    <w:rsid w:val="00E27005"/>
    <w:rsid w:val="00E30367"/>
    <w:rsid w:val="00E517F5"/>
    <w:rsid w:val="00E56E16"/>
    <w:rsid w:val="00E611ED"/>
    <w:rsid w:val="00E66813"/>
    <w:rsid w:val="00E67149"/>
    <w:rsid w:val="00E76D03"/>
    <w:rsid w:val="00E772F0"/>
    <w:rsid w:val="00E7781F"/>
    <w:rsid w:val="00E92B7F"/>
    <w:rsid w:val="00E94895"/>
    <w:rsid w:val="00EA7C1C"/>
    <w:rsid w:val="00EB3EBB"/>
    <w:rsid w:val="00EC1907"/>
    <w:rsid w:val="00EC4479"/>
    <w:rsid w:val="00ED041C"/>
    <w:rsid w:val="00ED55BD"/>
    <w:rsid w:val="00ED7FBF"/>
    <w:rsid w:val="00EE1DDC"/>
    <w:rsid w:val="00EF4F8B"/>
    <w:rsid w:val="00EF5BCC"/>
    <w:rsid w:val="00F0275E"/>
    <w:rsid w:val="00F074B2"/>
    <w:rsid w:val="00F11AA7"/>
    <w:rsid w:val="00F13E7E"/>
    <w:rsid w:val="00F34DC7"/>
    <w:rsid w:val="00F40570"/>
    <w:rsid w:val="00F5216C"/>
    <w:rsid w:val="00F57F75"/>
    <w:rsid w:val="00F6014F"/>
    <w:rsid w:val="00F60ED1"/>
    <w:rsid w:val="00F614D9"/>
    <w:rsid w:val="00F65B7D"/>
    <w:rsid w:val="00F7466A"/>
    <w:rsid w:val="00F813D7"/>
    <w:rsid w:val="00F962EB"/>
    <w:rsid w:val="00FA2F2B"/>
    <w:rsid w:val="00FB6470"/>
    <w:rsid w:val="00FE5851"/>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8D57E3"/>
  <w15:chartTrackingRefBased/>
  <w15:docId w15:val="{073D55FF-7C01-40BD-84F6-CF39759E6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Kommentarzeichen">
    <w:name w:val="annotation reference"/>
    <w:basedOn w:val="Absatz-Standardschriftart"/>
    <w:uiPriority w:val="99"/>
    <w:semiHidden/>
    <w:unhideWhenUsed/>
    <w:rsid w:val="001F4419"/>
    <w:rPr>
      <w:sz w:val="16"/>
      <w:szCs w:val="16"/>
    </w:rPr>
  </w:style>
  <w:style w:type="paragraph" w:styleId="Kommentarthema">
    <w:name w:val="annotation subject"/>
    <w:basedOn w:val="Kommentartext"/>
    <w:next w:val="Kommentartext"/>
    <w:link w:val="KommentarthemaZchn"/>
    <w:uiPriority w:val="99"/>
    <w:semiHidden/>
    <w:unhideWhenUsed/>
    <w:rsid w:val="001F4419"/>
    <w:rPr>
      <w:b/>
      <w:bCs/>
    </w:rPr>
  </w:style>
  <w:style w:type="character" w:customStyle="1" w:styleId="KommentartextZchn">
    <w:name w:val="Kommentartext Zchn"/>
    <w:basedOn w:val="Absatz-Standardschriftart"/>
    <w:link w:val="Kommentartext"/>
    <w:semiHidden/>
    <w:rsid w:val="001F4419"/>
    <w:rPr>
      <w:rFonts w:ascii="Arial" w:hAnsi="Arial"/>
    </w:rPr>
  </w:style>
  <w:style w:type="character" w:customStyle="1" w:styleId="KommentarthemaZchn">
    <w:name w:val="Kommentarthema Zchn"/>
    <w:basedOn w:val="KommentartextZchn"/>
    <w:link w:val="Kommentarthema"/>
    <w:uiPriority w:val="99"/>
    <w:semiHidden/>
    <w:rsid w:val="001F4419"/>
    <w:rPr>
      <w:rFonts w:ascii="Arial" w:hAnsi="Arial"/>
      <w:b/>
      <w:bCs/>
    </w:rPr>
  </w:style>
  <w:style w:type="character" w:customStyle="1" w:styleId="cf01">
    <w:name w:val="cf01"/>
    <w:basedOn w:val="Absatz-Standardschriftart"/>
    <w:rsid w:val="004867EE"/>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E61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895746534">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m.baden-wuerttemberg.de/fileadmin/redaktion/m-um/intern/Dateien/Dokumente/6_Wirtschaft/Ressourceneffizienz_und_Umwelttechnik/Wasserstoff/200724-Potentialstudie-H2-Baden-Wuerttemberg-bf.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aktuelles/whitepaper/dosiertechnologie-fuer-die-brennstoffzellen-fertigung/"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76BD39E5-45FC-459E-94ED-0A933F2C4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4</Pages>
  <Words>865</Words>
  <Characters>5459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6312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Pulzer, Robert</dc:creator>
  <cp:keywords/>
  <cp:lastModifiedBy>Kiesenbauer, Lisa</cp:lastModifiedBy>
  <cp:revision>6</cp:revision>
  <cp:lastPrinted>2012-02-28T06:54:00Z</cp:lastPrinted>
  <dcterms:created xsi:type="dcterms:W3CDTF">2022-01-20T09:05:00Z</dcterms:created>
  <dcterms:modified xsi:type="dcterms:W3CDTF">2022-03-09T07:40:00Z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