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7FAEB" w14:textId="77777777" w:rsidR="00C450E2" w:rsidRPr="004853FA" w:rsidRDefault="00F074B2" w:rsidP="005E050F">
      <w:pPr>
        <w:pStyle w:val="Headline1"/>
      </w:pPr>
      <w:r w:rsidRPr="004853FA">
        <w:t>Press</w:t>
      </w:r>
      <w:r w:rsidR="00B960E9" w:rsidRPr="004853FA">
        <w:t xml:space="preserve"> Release</w:t>
      </w:r>
    </w:p>
    <w:p w14:paraId="3181CC83" w14:textId="77777777" w:rsidR="00A82FFA" w:rsidRPr="004853FA" w:rsidRDefault="00A82FFA" w:rsidP="00A82FFA">
      <w:pPr>
        <w:rPr>
          <w:lang w:val="en-US"/>
        </w:rPr>
      </w:pPr>
    </w:p>
    <w:p w14:paraId="5B8F7E7A" w14:textId="77777777" w:rsidR="00F074B2" w:rsidRPr="004853FA" w:rsidRDefault="00F074B2" w:rsidP="00F074B2">
      <w:pPr>
        <w:spacing w:line="360" w:lineRule="auto"/>
        <w:ind w:right="1276"/>
        <w:rPr>
          <w:rFonts w:cs="Arial"/>
          <w:b/>
          <w:bCs/>
          <w:sz w:val="28"/>
          <w:szCs w:val="28"/>
          <w:lang w:val="en-US"/>
        </w:rPr>
      </w:pPr>
    </w:p>
    <w:p w14:paraId="5F62570B" w14:textId="682BF2F9" w:rsidR="00370F60" w:rsidRPr="00ED0D07" w:rsidRDefault="00ED0D07" w:rsidP="00370F60">
      <w:pPr>
        <w:pStyle w:val="Headline1"/>
        <w:jc w:val="both"/>
      </w:pPr>
      <w:r w:rsidRPr="00ED0D07">
        <w:t>Sealing of bipolar plates for fuel cells</w:t>
      </w:r>
    </w:p>
    <w:p w14:paraId="5AB23116" w14:textId="77777777" w:rsidR="00370F60" w:rsidRPr="00ED0D07" w:rsidRDefault="00370F60" w:rsidP="00370F60">
      <w:pPr>
        <w:pStyle w:val="Subheadline"/>
        <w:jc w:val="both"/>
      </w:pPr>
    </w:p>
    <w:p w14:paraId="01120F02" w14:textId="4A632F52" w:rsidR="00370F60" w:rsidRPr="00ED0D07" w:rsidRDefault="00F51D5F" w:rsidP="00370F60">
      <w:pPr>
        <w:pStyle w:val="Subheadline"/>
        <w:jc w:val="both"/>
      </w:pPr>
      <w:r>
        <w:t>Dispensing</w:t>
      </w:r>
      <w:r w:rsidR="00ED0D07" w:rsidRPr="00ED0D07">
        <w:t xml:space="preserve"> tests for process optimization in the ViscoTec technical </w:t>
      </w:r>
      <w:r w:rsidR="00ED0D07" w:rsidRPr="001D3EAE">
        <w:t>center</w:t>
      </w:r>
      <w:r w:rsidR="00370F60" w:rsidRPr="00ED0D07">
        <w:t xml:space="preserve"> </w:t>
      </w:r>
    </w:p>
    <w:p w14:paraId="2CD6766D" w14:textId="77777777" w:rsidR="00370F60" w:rsidRPr="00ED0D07" w:rsidRDefault="00370F60" w:rsidP="00370F60">
      <w:pPr>
        <w:pStyle w:val="Subheadline"/>
        <w:jc w:val="both"/>
      </w:pPr>
    </w:p>
    <w:p w14:paraId="19700D36" w14:textId="4CEF8BB3" w:rsidR="004853FA" w:rsidRDefault="00ED0D07" w:rsidP="00370F60">
      <w:pPr>
        <w:pStyle w:val="Presse-Fliesstext"/>
      </w:pPr>
      <w:r w:rsidRPr="0017475C">
        <w:t>The current</w:t>
      </w:r>
      <w:r w:rsidR="004853FA" w:rsidRPr="0017475C">
        <w:t xml:space="preserve">, </w:t>
      </w:r>
      <w:r w:rsidRPr="0017475C">
        <w:t>worldwide demand for environmentally compatible and efficient mobility</w:t>
      </w:r>
      <w:r w:rsidR="0017475C" w:rsidRPr="0017475C">
        <w:t xml:space="preserve"> brings</w:t>
      </w:r>
      <w:r w:rsidRPr="0017475C">
        <w:t xml:space="preserve"> fuel cell technology back </w:t>
      </w:r>
      <w:r w:rsidR="0017475C" w:rsidRPr="0017475C">
        <w:t>to the forefront</w:t>
      </w:r>
      <w:r w:rsidRPr="0017475C">
        <w:t xml:space="preserve"> of strategic discussions. </w:t>
      </w:r>
    </w:p>
    <w:p w14:paraId="5AE23980" w14:textId="00C0F2E7" w:rsidR="00370F60" w:rsidRPr="00ED0D07" w:rsidRDefault="0017475C" w:rsidP="00370F60">
      <w:pPr>
        <w:pStyle w:val="Presse-Fliesstext"/>
      </w:pPr>
      <w:r>
        <w:t>At the same time, f</w:t>
      </w:r>
      <w:r w:rsidR="004853FA">
        <w:t>ue</w:t>
      </w:r>
      <w:r w:rsidR="00ED0D07" w:rsidRPr="00ED0D07">
        <w:t xml:space="preserve">l cells and hydrogen </w:t>
      </w:r>
      <w:r w:rsidR="00ED0D07" w:rsidRPr="000C26B7">
        <w:t xml:space="preserve">promise </w:t>
      </w:r>
      <w:r w:rsidR="00F2013F" w:rsidRPr="000C26B7">
        <w:t xml:space="preserve">large </w:t>
      </w:r>
      <w:r w:rsidR="00ED0D07" w:rsidRPr="000C26B7">
        <w:t xml:space="preserve">potential. Looking at the market and the maturity of the technology, it can be seen that fuel cell applications still claim a small market share but have already gained </w:t>
      </w:r>
      <w:r w:rsidR="00F2013F" w:rsidRPr="000C26B7">
        <w:t xml:space="preserve">a great deal </w:t>
      </w:r>
      <w:r w:rsidR="00ED0D07" w:rsidRPr="000C26B7">
        <w:t>of</w:t>
      </w:r>
      <w:r w:rsidR="00ED0D07" w:rsidRPr="00ED0D07">
        <w:t xml:space="preserve"> momentum. In line with this development, </w:t>
      </w:r>
      <w:r w:rsidR="00F51D5F">
        <w:t>dispensing</w:t>
      </w:r>
      <w:r w:rsidR="00ED0D07" w:rsidRPr="00ED0D07">
        <w:t xml:space="preserve"> tests were recently carried out at the ViscoTec </w:t>
      </w:r>
      <w:r w:rsidR="00ED0D07" w:rsidRPr="001D3EAE">
        <w:t>technical center</w:t>
      </w:r>
      <w:r w:rsidR="00ED0D07" w:rsidRPr="00ED0D07">
        <w:t xml:space="preserve"> using a Wacker silicone to seal bipolar plates for fuel cells.</w:t>
      </w:r>
    </w:p>
    <w:p w14:paraId="33C4D072" w14:textId="414CE151" w:rsidR="00370F60" w:rsidRPr="00ED0D07" w:rsidRDefault="00ED0D07" w:rsidP="00370F60">
      <w:pPr>
        <w:pStyle w:val="Presse-Fliesstext"/>
      </w:pPr>
      <w:r w:rsidRPr="00ED0D07">
        <w:t xml:space="preserve">The aim of the dispensing tests: </w:t>
      </w:r>
      <w:r w:rsidR="004853FA">
        <w:t>T</w:t>
      </w:r>
      <w:r w:rsidRPr="00ED0D07">
        <w:t xml:space="preserve">o apply the sealing seam to a bipolar plate in compliance with precise specifications regarding height tolerance. </w:t>
      </w:r>
      <w:r w:rsidR="0016320A">
        <w:t xml:space="preserve">Due </w:t>
      </w:r>
      <w:r w:rsidRPr="00ED0D07">
        <w:t>to such tests, it is possible to determine process parameters and m</w:t>
      </w:r>
      <w:r w:rsidRPr="0017475C">
        <w:t xml:space="preserve">inimize risks - in order to be able to </w:t>
      </w:r>
      <w:r w:rsidR="0017475C" w:rsidRPr="0017475C">
        <w:t>deduce</w:t>
      </w:r>
      <w:r w:rsidRPr="0017475C">
        <w:t xml:space="preserve"> continuous improvement </w:t>
      </w:r>
      <w:r w:rsidR="001D3EAE">
        <w:t>measures</w:t>
      </w:r>
      <w:r w:rsidR="0017475C" w:rsidRPr="0017475C">
        <w:t xml:space="preserve"> from</w:t>
      </w:r>
      <w:r w:rsidR="0017475C">
        <w:t xml:space="preserve"> them</w:t>
      </w:r>
      <w:r w:rsidRPr="00ED0D07">
        <w:t xml:space="preserve">. The test was carried out with the </w:t>
      </w:r>
      <w:r w:rsidRPr="001D3EAE">
        <w:t>2</w:t>
      </w:r>
      <w:r w:rsidR="00FC15EE" w:rsidRPr="001D3EAE">
        <w:t>-component D</w:t>
      </w:r>
      <w:r w:rsidRPr="001D3EAE">
        <w:t xml:space="preserve">ispenser P4/4, at a dispensing speed of 0.12 ml/s. The tolerance of the sealant bead was not exceeded. The tolerance of the sealing bead was +/- 0.05 mm </w:t>
      </w:r>
      <w:r w:rsidR="001D3EAE" w:rsidRPr="001D3EAE">
        <w:t>–</w:t>
      </w:r>
      <w:r w:rsidRPr="001D3EAE">
        <w:t xml:space="preserve"> a</w:t>
      </w:r>
      <w:r w:rsidR="001D3EAE" w:rsidRPr="001D3EAE">
        <w:t>lready a</w:t>
      </w:r>
      <w:r w:rsidR="00FC15EE" w:rsidRPr="001D3EAE">
        <w:t xml:space="preserve">n impressive </w:t>
      </w:r>
      <w:r w:rsidRPr="001D3EAE">
        <w:t>result, which</w:t>
      </w:r>
      <w:r w:rsidRPr="00ED0D07">
        <w:t xml:space="preserve"> the dispensing technology experts want to improve even further</w:t>
      </w:r>
      <w:r w:rsidR="00370F60" w:rsidRPr="00ED0D07">
        <w:t xml:space="preserve">. </w:t>
      </w:r>
    </w:p>
    <w:p w14:paraId="0A22EB4E" w14:textId="0BB9C622" w:rsidR="00370F60" w:rsidRPr="00ED0D07" w:rsidRDefault="00ED0D07" w:rsidP="00370F60">
      <w:pPr>
        <w:pStyle w:val="Presse-Fliesstext"/>
      </w:pPr>
      <w:r w:rsidRPr="00ED0D07">
        <w:t xml:space="preserve">The system design is adapted to the needs of the customer or to the requirements of the respective application. For example, the </w:t>
      </w:r>
      <w:r w:rsidR="00F51D5F">
        <w:t>dispensing</w:t>
      </w:r>
      <w:r w:rsidRPr="00ED0D07">
        <w:t xml:space="preserve"> capacity can be adjusted individually. As a system supplier for process-safe, </w:t>
      </w:r>
      <w:r w:rsidR="00FC15EE" w:rsidRPr="00ED0D07">
        <w:t>precise,</w:t>
      </w:r>
      <w:r w:rsidRPr="00ED0D07">
        <w:t xml:space="preserve"> and scalable </w:t>
      </w:r>
      <w:r w:rsidR="00F51D5F">
        <w:t>dispensing</w:t>
      </w:r>
      <w:r w:rsidRPr="00ED0D07">
        <w:t xml:space="preserve"> technology, ViscoTec is a sought-after partner in a wide range of industries. With the help of special business development units, ViscoTec works together with research institutions, machine builders and end customers on improved and automated production methods. ViscoTec can draw on a wide range of synergies here, but thanks to its own technical center it can also carry out extensive trials and generate process knowledge</w:t>
      </w:r>
      <w:r w:rsidR="00370F60" w:rsidRPr="00ED0D07">
        <w:t>.</w:t>
      </w:r>
    </w:p>
    <w:p w14:paraId="78A9CA00" w14:textId="227E6E03" w:rsidR="00370F60" w:rsidRPr="00ED0D07" w:rsidRDefault="00ED0D07" w:rsidP="00370F60">
      <w:pPr>
        <w:pStyle w:val="Presse-Fliesstext"/>
      </w:pPr>
      <w:r w:rsidRPr="00ED0D07">
        <w:t xml:space="preserve">In the fuel cell sector too, the </w:t>
      </w:r>
      <w:r w:rsidR="00F51D5F">
        <w:t>dispensing</w:t>
      </w:r>
      <w:r w:rsidRPr="00ED0D07">
        <w:t xml:space="preserve"> experts are supporting the development of the market and want to enable customers to achieve continuous growth. Industry experts see a potential of EUR 65 billion in sales in Europe and a further EUR 65 billion in global </w:t>
      </w:r>
      <w:r w:rsidRPr="00ED0D07">
        <w:lastRenderedPageBreak/>
        <w:t>markets in this future mass market.</w:t>
      </w:r>
      <w:r w:rsidRPr="00FC15EE">
        <w:rPr>
          <w:vertAlign w:val="superscript"/>
        </w:rPr>
        <w:t>1</w:t>
      </w:r>
      <w:r w:rsidRPr="00ED0D07">
        <w:t xml:space="preserve"> China, </w:t>
      </w:r>
      <w:r w:rsidR="000E5075" w:rsidRPr="00ED0D07">
        <w:t>Japan,</w:t>
      </w:r>
      <w:r w:rsidRPr="00ED0D07">
        <w:t xml:space="preserve"> and South Korea in particular, but also the USA, should be considered as sales markets so that the current export strength continues to be maintained for domestic companies. </w:t>
      </w:r>
      <w:r w:rsidR="001C790B" w:rsidRPr="001C790B">
        <w:t>In order to exploit the future growth potential of the hydrogen and fuel cell industry and to remain competitive in the international arena, it will be crucial in the next two to five years to continue to build up and expand existing competencies through investment.</w:t>
      </w:r>
    </w:p>
    <w:p w14:paraId="24B76AD2" w14:textId="3BFA5772" w:rsidR="00370F60" w:rsidRPr="00ED0D07" w:rsidRDefault="00ED0D07" w:rsidP="00370F60">
      <w:pPr>
        <w:pStyle w:val="Presse-Fliesstext"/>
      </w:pPr>
      <w:r w:rsidRPr="00ED0D07">
        <w:t xml:space="preserve">ViscoTec is always ready to provide proactive support and create added value. After all, if dispensing for bonding or sealing components such as bipolar plates is the goal, economic benefits and technical accuracy must be possible even for small quantities. It is therefore crucial to </w:t>
      </w:r>
      <w:r w:rsidR="007846A4" w:rsidRPr="001C790B">
        <w:t>facilitate</w:t>
      </w:r>
      <w:r w:rsidR="001D3EAE" w:rsidRPr="001C790B">
        <w:t xml:space="preserve"> access</w:t>
      </w:r>
      <w:r w:rsidRPr="00ED0D07">
        <w:t xml:space="preserve"> </w:t>
      </w:r>
      <w:r w:rsidR="000E5075">
        <w:t>with</w:t>
      </w:r>
      <w:r w:rsidRPr="00ED0D07">
        <w:t xml:space="preserve"> moderate investment costs</w:t>
      </w:r>
      <w:r w:rsidR="0016320A">
        <w:t xml:space="preserve">, </w:t>
      </w:r>
      <w:r w:rsidR="0016320A" w:rsidRPr="009A27AB">
        <w:t>b</w:t>
      </w:r>
      <w:r w:rsidRPr="009A27AB">
        <w:t xml:space="preserve">ut </w:t>
      </w:r>
      <w:r w:rsidR="000E5075" w:rsidRPr="009A27AB">
        <w:t>also</w:t>
      </w:r>
      <w:r w:rsidRPr="009A27AB">
        <w:t xml:space="preserve"> to</w:t>
      </w:r>
      <w:r w:rsidRPr="00ED0D07">
        <w:t xml:space="preserve"> ensure scalability by means of a well thought-out system configuration. </w:t>
      </w:r>
      <w:r w:rsidR="000E5075">
        <w:t>Particularly s</w:t>
      </w:r>
      <w:r w:rsidRPr="00ED0D07">
        <w:t>calability and the associated cost degression must be calculable for customers</w:t>
      </w:r>
      <w:r w:rsidR="00370F60" w:rsidRPr="00ED0D07">
        <w:t>.</w:t>
      </w:r>
    </w:p>
    <w:p w14:paraId="2B89C7D7" w14:textId="77777777" w:rsidR="00370F60" w:rsidRPr="004853FA" w:rsidRDefault="00370F60" w:rsidP="00370F60">
      <w:pPr>
        <w:pStyle w:val="Presse-Fliesstext"/>
        <w:rPr>
          <w:sz w:val="16"/>
          <w:szCs w:val="16"/>
        </w:rPr>
      </w:pPr>
      <w:r w:rsidRPr="004853FA">
        <w:rPr>
          <w:sz w:val="16"/>
          <w:szCs w:val="16"/>
          <w:vertAlign w:val="superscript"/>
        </w:rPr>
        <w:t>1</w:t>
      </w:r>
      <w:r w:rsidRPr="004853FA">
        <w:rPr>
          <w:sz w:val="16"/>
          <w:szCs w:val="16"/>
        </w:rPr>
        <w:t xml:space="preserve"> </w:t>
      </w:r>
      <w:hyperlink r:id="rId11" w:history="1">
        <w:r w:rsidRPr="004853FA">
          <w:rPr>
            <w:rStyle w:val="Hyperlink"/>
            <w:sz w:val="16"/>
            <w:szCs w:val="16"/>
          </w:rPr>
          <w:t>https://um.baden-wuerttemberg.de/fileadmin/redaktion/m-um/intern/Dateien/Dokumente/6_Wirtschaft/Ressourceneffizienz_und_Umwelttechnik/Wasserstoff/200724-Potentialstudie-H2-Baden-Wuerttemberg-bf.pdf</w:t>
        </w:r>
      </w:hyperlink>
    </w:p>
    <w:p w14:paraId="4FD824D0" w14:textId="77777777" w:rsidR="00370F60" w:rsidRPr="004853FA" w:rsidRDefault="00370F60" w:rsidP="005E050F">
      <w:pPr>
        <w:pStyle w:val="Fliesstext"/>
      </w:pPr>
    </w:p>
    <w:p w14:paraId="25E34AC4" w14:textId="77777777" w:rsidR="00370F60" w:rsidRPr="004853FA" w:rsidRDefault="00370F60" w:rsidP="005E050F">
      <w:pPr>
        <w:pStyle w:val="Fliesstext"/>
      </w:pPr>
    </w:p>
    <w:p w14:paraId="4FA43600" w14:textId="1A85BBA9" w:rsidR="00F074B2" w:rsidRPr="00251BF6" w:rsidRDefault="000E5075" w:rsidP="005E050F">
      <w:pPr>
        <w:pStyle w:val="Fliesstext"/>
      </w:pPr>
      <w:r w:rsidRPr="001C790B">
        <w:t>3,</w:t>
      </w:r>
      <w:r w:rsidR="00FE1864">
        <w:t>250</w:t>
      </w:r>
      <w:r w:rsidR="00F074B2" w:rsidRPr="00251BF6">
        <w:rPr>
          <w:color w:val="FF0000"/>
        </w:rPr>
        <w:t xml:space="preserve"> </w:t>
      </w:r>
      <w:r w:rsidR="00B960E9" w:rsidRPr="00251BF6">
        <w:t>characters including spaces. Reprinting free of charge. Copy requested</w:t>
      </w:r>
      <w:r w:rsidR="00F074B2" w:rsidRPr="00251BF6">
        <w:t>.</w:t>
      </w:r>
    </w:p>
    <w:p w14:paraId="69B87789" w14:textId="77777777" w:rsidR="005E050F" w:rsidRPr="00251BF6" w:rsidRDefault="005E050F" w:rsidP="005E050F">
      <w:pPr>
        <w:pStyle w:val="Fliesstext"/>
      </w:pPr>
    </w:p>
    <w:p w14:paraId="64CEC54B" w14:textId="77777777" w:rsidR="00F074B2" w:rsidRPr="00251BF6" w:rsidRDefault="00F074B2" w:rsidP="00F074B2">
      <w:pPr>
        <w:spacing w:line="360" w:lineRule="auto"/>
        <w:ind w:right="1273"/>
        <w:rPr>
          <w:rFonts w:cs="Arial"/>
          <w:lang w:val="en-US"/>
        </w:rPr>
      </w:pPr>
    </w:p>
    <w:p w14:paraId="6B73B81E" w14:textId="77777777" w:rsidR="00F074B2" w:rsidRPr="00251BF6" w:rsidRDefault="00B960E9" w:rsidP="005E050F">
      <w:pPr>
        <w:pStyle w:val="Subheadline"/>
      </w:pPr>
      <w:r w:rsidRPr="00251BF6">
        <w:t>Pictures</w:t>
      </w:r>
      <w:r w:rsidR="00C60AD4" w:rsidRPr="00251BF6">
        <w:t>:</w:t>
      </w:r>
    </w:p>
    <w:p w14:paraId="516B49FD" w14:textId="77777777" w:rsidR="005E050F" w:rsidRPr="00251BF6" w:rsidRDefault="005E050F" w:rsidP="005E050F">
      <w:pPr>
        <w:pStyle w:val="Subheadline"/>
      </w:pPr>
    </w:p>
    <w:p w14:paraId="04AECF20" w14:textId="77777777" w:rsidR="00370F60" w:rsidRDefault="00370F60" w:rsidP="00370F60">
      <w:pPr>
        <w:pStyle w:val="StandardWeb"/>
        <w:spacing w:line="360" w:lineRule="auto"/>
        <w:ind w:right="1273"/>
        <w:jc w:val="both"/>
        <w:rPr>
          <w:rFonts w:cs="Arial"/>
        </w:rPr>
      </w:pPr>
      <w:r>
        <w:rPr>
          <w:rFonts w:cs="Arial"/>
          <w:noProof/>
        </w:rPr>
        <w:drawing>
          <wp:inline distT="0" distB="0" distL="0" distR="0" wp14:anchorId="0876DF4C" wp14:editId="53611909">
            <wp:extent cx="1825465" cy="1028700"/>
            <wp:effectExtent l="19050" t="19050" r="22860" b="19050"/>
            <wp:docPr id="3" name="Grafik 3" descr="Ein Bild, das drinnen, Zähl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Zähle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985" cy="1030684"/>
                    </a:xfrm>
                    <a:prstGeom prst="rect">
                      <a:avLst/>
                    </a:prstGeom>
                    <a:noFill/>
                    <a:ln>
                      <a:solidFill>
                        <a:schemeClr val="accent1"/>
                      </a:solidFill>
                    </a:ln>
                  </pic:spPr>
                </pic:pic>
              </a:graphicData>
            </a:graphic>
          </wp:inline>
        </w:drawing>
      </w:r>
    </w:p>
    <w:p w14:paraId="37CC306F" w14:textId="3D7F4B1C" w:rsidR="00370F60" w:rsidRDefault="00F51D5F" w:rsidP="00370F60">
      <w:pPr>
        <w:pStyle w:val="StandardWeb"/>
        <w:spacing w:line="360" w:lineRule="auto"/>
        <w:ind w:right="1273"/>
        <w:jc w:val="both"/>
        <w:rPr>
          <w:rFonts w:cs="Arial"/>
          <w:i/>
          <w:sz w:val="18"/>
          <w:szCs w:val="18"/>
          <w:lang w:val="en-US"/>
        </w:rPr>
      </w:pPr>
      <w:r w:rsidRPr="00F51D5F">
        <w:rPr>
          <w:rFonts w:cs="Arial"/>
          <w:i/>
          <w:sz w:val="18"/>
          <w:szCs w:val="18"/>
          <w:lang w:val="en-US"/>
        </w:rPr>
        <w:t>D</w:t>
      </w:r>
      <w:r>
        <w:rPr>
          <w:rFonts w:cs="Arial"/>
          <w:i/>
          <w:sz w:val="18"/>
          <w:szCs w:val="18"/>
          <w:lang w:val="en-US"/>
        </w:rPr>
        <w:t>ispensing</w:t>
      </w:r>
      <w:r w:rsidRPr="00F51D5F">
        <w:rPr>
          <w:rFonts w:cs="Arial"/>
          <w:i/>
          <w:sz w:val="18"/>
          <w:szCs w:val="18"/>
          <w:lang w:val="en-US"/>
        </w:rPr>
        <w:t xml:space="preserve"> test </w:t>
      </w:r>
      <w:r>
        <w:rPr>
          <w:rFonts w:cs="Arial"/>
          <w:i/>
          <w:sz w:val="18"/>
          <w:szCs w:val="18"/>
          <w:lang w:val="en-US"/>
        </w:rPr>
        <w:t xml:space="preserve">for a </w:t>
      </w:r>
      <w:r w:rsidRPr="00F51D5F">
        <w:rPr>
          <w:rFonts w:cs="Arial"/>
          <w:i/>
          <w:sz w:val="18"/>
          <w:szCs w:val="18"/>
          <w:lang w:val="en-US"/>
        </w:rPr>
        <w:t xml:space="preserve">sealing bipolar plate for </w:t>
      </w:r>
      <w:r>
        <w:rPr>
          <w:rFonts w:cs="Arial"/>
          <w:i/>
          <w:sz w:val="18"/>
          <w:szCs w:val="18"/>
          <w:lang w:val="en-US"/>
        </w:rPr>
        <w:t xml:space="preserve">a </w:t>
      </w:r>
      <w:r w:rsidRPr="00F51D5F">
        <w:rPr>
          <w:rFonts w:cs="Arial"/>
          <w:i/>
          <w:sz w:val="18"/>
          <w:szCs w:val="18"/>
          <w:lang w:val="en-US"/>
        </w:rPr>
        <w:t>fuel cell</w:t>
      </w:r>
    </w:p>
    <w:p w14:paraId="013E5147" w14:textId="77777777" w:rsidR="00F51D5F" w:rsidRPr="00F51D5F" w:rsidRDefault="00F51D5F" w:rsidP="00370F60">
      <w:pPr>
        <w:pStyle w:val="StandardWeb"/>
        <w:spacing w:line="360" w:lineRule="auto"/>
        <w:ind w:right="1273"/>
        <w:jc w:val="both"/>
        <w:rPr>
          <w:rFonts w:cs="Arial"/>
          <w:lang w:val="en-US"/>
        </w:rPr>
      </w:pPr>
    </w:p>
    <w:p w14:paraId="2F6AF12F" w14:textId="77777777" w:rsidR="00370F60" w:rsidRPr="00031C83" w:rsidRDefault="00370F60" w:rsidP="00370F60">
      <w:pPr>
        <w:pStyle w:val="StandardWeb"/>
        <w:spacing w:line="360" w:lineRule="auto"/>
        <w:ind w:right="1273"/>
        <w:jc w:val="both"/>
        <w:rPr>
          <w:rFonts w:cs="Arial"/>
        </w:rPr>
      </w:pPr>
      <w:r>
        <w:rPr>
          <w:rFonts w:cs="Arial"/>
          <w:noProof/>
        </w:rPr>
        <w:drawing>
          <wp:inline distT="0" distB="0" distL="0" distR="0" wp14:anchorId="4F0A5179" wp14:editId="59E47BAD">
            <wp:extent cx="1914525" cy="1277302"/>
            <wp:effectExtent l="19050" t="19050" r="9525" b="184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9672" cy="1287408"/>
                    </a:xfrm>
                    <a:prstGeom prst="rect">
                      <a:avLst/>
                    </a:prstGeom>
                    <a:noFill/>
                    <a:ln>
                      <a:solidFill>
                        <a:schemeClr val="accent1"/>
                      </a:solidFill>
                    </a:ln>
                  </pic:spPr>
                </pic:pic>
              </a:graphicData>
            </a:graphic>
          </wp:inline>
        </w:drawing>
      </w:r>
    </w:p>
    <w:p w14:paraId="62E6B286" w14:textId="577153C7" w:rsidR="00370F60" w:rsidRDefault="00F51D5F" w:rsidP="00370F60">
      <w:pPr>
        <w:pStyle w:val="Bildunterschrift"/>
        <w:jc w:val="both"/>
        <w:rPr>
          <w:lang w:val="de-DE"/>
        </w:rPr>
      </w:pPr>
      <w:r w:rsidRPr="00F51D5F">
        <w:rPr>
          <w:lang w:val="de-DE"/>
        </w:rPr>
        <w:t>High precision d</w:t>
      </w:r>
      <w:r>
        <w:rPr>
          <w:lang w:val="de-DE"/>
        </w:rPr>
        <w:t>i</w:t>
      </w:r>
      <w:r w:rsidRPr="00F51D5F">
        <w:rPr>
          <w:lang w:val="de-DE"/>
        </w:rPr>
        <w:t>s</w:t>
      </w:r>
      <w:r>
        <w:rPr>
          <w:lang w:val="de-DE"/>
        </w:rPr>
        <w:t>pens</w:t>
      </w:r>
      <w:r w:rsidRPr="00F51D5F">
        <w:rPr>
          <w:lang w:val="de-DE"/>
        </w:rPr>
        <w:t>ing result</w:t>
      </w:r>
    </w:p>
    <w:p w14:paraId="5BBE1826" w14:textId="77777777" w:rsidR="00F51D5F" w:rsidRDefault="00F51D5F" w:rsidP="00370F60">
      <w:pPr>
        <w:pStyle w:val="Bildunterschrift"/>
        <w:jc w:val="both"/>
      </w:pPr>
    </w:p>
    <w:p w14:paraId="475BA601" w14:textId="77777777" w:rsidR="00370F60" w:rsidRDefault="00370F60" w:rsidP="00370F60">
      <w:pPr>
        <w:pStyle w:val="Bildunterschrift"/>
        <w:jc w:val="both"/>
      </w:pPr>
      <w:r>
        <w:rPr>
          <w:noProof/>
        </w:rPr>
        <w:drawing>
          <wp:inline distT="0" distB="0" distL="0" distR="0" wp14:anchorId="2D698B31" wp14:editId="450DAD7E">
            <wp:extent cx="2101783" cy="914400"/>
            <wp:effectExtent l="19050" t="19050" r="13335" b="190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05658" cy="916086"/>
                    </a:xfrm>
                    <a:prstGeom prst="rect">
                      <a:avLst/>
                    </a:prstGeom>
                    <a:ln>
                      <a:solidFill>
                        <a:schemeClr val="accent1"/>
                      </a:solidFill>
                    </a:ln>
                  </pic:spPr>
                </pic:pic>
              </a:graphicData>
            </a:graphic>
          </wp:inline>
        </w:drawing>
      </w:r>
    </w:p>
    <w:p w14:paraId="6A16F29E" w14:textId="26B16344" w:rsidR="00370F60" w:rsidRDefault="00F51D5F" w:rsidP="00370F60">
      <w:pPr>
        <w:pStyle w:val="Bildunterschrift"/>
        <w:jc w:val="both"/>
        <w:rPr>
          <w:lang w:val="de-DE"/>
        </w:rPr>
      </w:pPr>
      <w:r w:rsidRPr="00F51D5F">
        <w:rPr>
          <w:lang w:val="de-DE"/>
        </w:rPr>
        <w:t>Focus on fuel cells</w:t>
      </w:r>
    </w:p>
    <w:p w14:paraId="7E39EC09" w14:textId="77777777" w:rsidR="00F51D5F" w:rsidRDefault="00F51D5F" w:rsidP="00370F60">
      <w:pPr>
        <w:pStyle w:val="Bildunterschrift"/>
        <w:jc w:val="both"/>
      </w:pPr>
    </w:p>
    <w:p w14:paraId="0D6682B3" w14:textId="77777777" w:rsidR="00370F60" w:rsidRDefault="00370F60" w:rsidP="00370F60">
      <w:pPr>
        <w:pStyle w:val="Bildunterschrift"/>
        <w:jc w:val="both"/>
      </w:pPr>
      <w:r>
        <w:rPr>
          <w:noProof/>
        </w:rPr>
        <w:drawing>
          <wp:inline distT="0" distB="0" distL="0" distR="0" wp14:anchorId="38C59AAF" wp14:editId="0FCBF23C">
            <wp:extent cx="2120265" cy="1879436"/>
            <wp:effectExtent l="19050" t="19050" r="13335" b="260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33182" cy="1890886"/>
                    </a:xfrm>
                    <a:prstGeom prst="rect">
                      <a:avLst/>
                    </a:prstGeom>
                    <a:ln>
                      <a:solidFill>
                        <a:schemeClr val="accent1"/>
                      </a:solidFill>
                    </a:ln>
                  </pic:spPr>
                </pic:pic>
              </a:graphicData>
            </a:graphic>
          </wp:inline>
        </w:drawing>
      </w:r>
    </w:p>
    <w:p w14:paraId="11F3CA49" w14:textId="0F21084A" w:rsidR="00370F60" w:rsidRDefault="00ED0D07" w:rsidP="005E050F">
      <w:pPr>
        <w:pStyle w:val="Subheadline"/>
        <w:rPr>
          <w:b w:val="0"/>
          <w:i/>
          <w:sz w:val="18"/>
          <w:szCs w:val="18"/>
        </w:rPr>
      </w:pPr>
      <w:r w:rsidRPr="00ED0D07">
        <w:rPr>
          <w:b w:val="0"/>
          <w:i/>
          <w:sz w:val="18"/>
          <w:szCs w:val="18"/>
        </w:rPr>
        <w:t>Structure of</w:t>
      </w:r>
      <w:r>
        <w:rPr>
          <w:b w:val="0"/>
          <w:i/>
          <w:sz w:val="18"/>
          <w:szCs w:val="18"/>
        </w:rPr>
        <w:t xml:space="preserve"> a</w:t>
      </w:r>
      <w:r w:rsidRPr="00ED0D07">
        <w:rPr>
          <w:b w:val="0"/>
          <w:i/>
          <w:sz w:val="18"/>
          <w:szCs w:val="18"/>
        </w:rPr>
        <w:t xml:space="preserve"> fuel cell stack</w:t>
      </w:r>
    </w:p>
    <w:p w14:paraId="0147AB78" w14:textId="77777777" w:rsidR="00F51D5F" w:rsidRPr="00ED0D07" w:rsidRDefault="00F51D5F" w:rsidP="005E050F">
      <w:pPr>
        <w:pStyle w:val="Subheadline"/>
      </w:pPr>
    </w:p>
    <w:p w14:paraId="41CB7F2F" w14:textId="77777777" w:rsidR="00370F60" w:rsidRPr="00ED0D07" w:rsidRDefault="00370F60" w:rsidP="005E050F">
      <w:pPr>
        <w:pStyle w:val="Subheadline"/>
      </w:pPr>
    </w:p>
    <w:p w14:paraId="0A956BA1" w14:textId="1033393C" w:rsidR="00F074B2" w:rsidRPr="004853FA" w:rsidRDefault="00B960E9" w:rsidP="005E050F">
      <w:pPr>
        <w:pStyle w:val="Subheadline"/>
      </w:pPr>
      <w:r w:rsidRPr="004853FA">
        <w:t xml:space="preserve">ViscoTec </w:t>
      </w:r>
      <w:r w:rsidR="00F51D5F" w:rsidRPr="004853FA">
        <w:t>-</w:t>
      </w:r>
      <w:r w:rsidRPr="004853FA">
        <w:t xml:space="preserve"> Perfectly dosed!</w:t>
      </w:r>
    </w:p>
    <w:p w14:paraId="214EA75A" w14:textId="7467605E" w:rsidR="00585A07" w:rsidRPr="003671A3" w:rsidRDefault="00585A07" w:rsidP="00585A07">
      <w:pPr>
        <w:pStyle w:val="Fliesstext"/>
      </w:pPr>
      <w:r w:rsidRPr="003671A3">
        <w:t>ViscoTec Pumpen- u. Dosiertechnik GmbH manufactures systems required for conveying, dosing, applying, filling, and emptying medium to high-viscosity fluids. The headquarter</w:t>
      </w:r>
      <w:r w:rsidR="00F51D5F">
        <w:t>s</w:t>
      </w:r>
      <w:r w:rsidRPr="003671A3">
        <w:t xml:space="preserve"> is in Töging a. Inn (Bavaria). ViscoTec has subsidiaries in the USA, China, Singapore, India and in France and employs about </w:t>
      </w:r>
      <w:r w:rsidR="00474C0B">
        <w:t>300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manufacturing</w:t>
      </w:r>
      <w:r w:rsidRPr="003671A3">
        <w:t xml:space="preserve"> or many other branches.</w:t>
      </w:r>
    </w:p>
    <w:p w14:paraId="6176F372" w14:textId="77777777" w:rsidR="00F074B2" w:rsidRPr="00251BF6" w:rsidRDefault="00F074B2" w:rsidP="00F074B2">
      <w:pPr>
        <w:rPr>
          <w:rFonts w:cs="Arial"/>
          <w:lang w:val="en-US"/>
        </w:rPr>
      </w:pPr>
    </w:p>
    <w:p w14:paraId="2B664EC2" w14:textId="77777777" w:rsidR="00F074B2" w:rsidRPr="00251BF6" w:rsidRDefault="00F074B2" w:rsidP="00C60AD4">
      <w:pPr>
        <w:spacing w:line="360" w:lineRule="auto"/>
        <w:ind w:right="1273"/>
        <w:rPr>
          <w:rFonts w:cs="Arial"/>
          <w:lang w:val="en-US"/>
        </w:rPr>
      </w:pPr>
    </w:p>
    <w:p w14:paraId="0EE82300" w14:textId="77777777" w:rsidR="00F074B2" w:rsidRPr="00251BF6" w:rsidRDefault="00B82931" w:rsidP="005E050F">
      <w:pPr>
        <w:pStyle w:val="Subheadline"/>
      </w:pPr>
      <w:r w:rsidRPr="00251BF6">
        <w:t>Press contact</w:t>
      </w:r>
      <w:r w:rsidR="00F074B2" w:rsidRPr="00251BF6">
        <w:t>:</w:t>
      </w:r>
    </w:p>
    <w:p w14:paraId="7A936527" w14:textId="63FEDAB3" w:rsidR="00F074B2" w:rsidRPr="00251BF6" w:rsidRDefault="00474C0B" w:rsidP="005E050F">
      <w:pPr>
        <w:pStyle w:val="Fliesstext"/>
      </w:pPr>
      <w:r>
        <w:t>Lisa Kiesenbauer</w:t>
      </w:r>
      <w:r w:rsidR="00F074B2" w:rsidRPr="00251BF6">
        <w:t>, Marketing</w:t>
      </w:r>
    </w:p>
    <w:p w14:paraId="039C852E" w14:textId="2CA376E4" w:rsidR="00B82931" w:rsidRPr="00251BF6" w:rsidRDefault="00B82931" w:rsidP="005E050F">
      <w:pPr>
        <w:pStyle w:val="Fliesstext"/>
      </w:pPr>
      <w:r w:rsidRPr="00251BF6">
        <w:t>Phone: +49 8631 9274-</w:t>
      </w:r>
      <w:r w:rsidR="00474C0B">
        <w:t>0</w:t>
      </w:r>
      <w:r w:rsidRPr="00251BF6">
        <w:t xml:space="preserve"> </w:t>
      </w:r>
    </w:p>
    <w:p w14:paraId="26ADDA81" w14:textId="4A693BED" w:rsidR="00B82931" w:rsidRPr="00251BF6" w:rsidRDefault="00474C0B" w:rsidP="005E050F">
      <w:pPr>
        <w:pStyle w:val="Fliesstext"/>
      </w:pPr>
      <w:r>
        <w:t>lisa.kiesenbauer</w:t>
      </w:r>
      <w:r w:rsidR="00B82931" w:rsidRPr="00251BF6">
        <w:t xml:space="preserve">@viscotec.de </w:t>
      </w:r>
    </w:p>
    <w:p w14:paraId="76A44174" w14:textId="77777777" w:rsidR="00B82931" w:rsidRPr="00251BF6" w:rsidRDefault="00B82931" w:rsidP="00B82931">
      <w:pPr>
        <w:spacing w:line="360" w:lineRule="auto"/>
        <w:ind w:right="1273"/>
        <w:rPr>
          <w:rFonts w:cs="Arial"/>
          <w:lang w:val="en-US"/>
        </w:rPr>
      </w:pPr>
    </w:p>
    <w:p w14:paraId="167000FF" w14:textId="77777777" w:rsidR="00B82931" w:rsidRPr="00251BF6" w:rsidRDefault="00B82931" w:rsidP="005E050F">
      <w:pPr>
        <w:pStyle w:val="Fliesstext"/>
        <w:rPr>
          <w:b/>
          <w:bCs/>
        </w:rPr>
      </w:pPr>
    </w:p>
    <w:p w14:paraId="61E2E1DE"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57FFFA6F" w14:textId="77777777" w:rsidR="00B82931" w:rsidRPr="00251BF6" w:rsidRDefault="00B82931" w:rsidP="005E050F">
      <w:pPr>
        <w:pStyle w:val="Fliesstext"/>
      </w:pPr>
    </w:p>
    <w:p w14:paraId="123746AC"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6D9EFFDC" w14:textId="77777777" w:rsidR="00B82931" w:rsidRPr="00251BF6" w:rsidRDefault="00B82931" w:rsidP="005E050F">
      <w:pPr>
        <w:pStyle w:val="Fliesstext"/>
      </w:pPr>
    </w:p>
    <w:p w14:paraId="07CA90CA"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City of Elite | No. 1000 Jin Hai Road, Pudong</w:t>
      </w:r>
      <w:r w:rsidR="00504258" w:rsidRPr="00251BF6">
        <w:br/>
        <w:t>Shanghai, 201206 | P.R. China</w:t>
      </w:r>
    </w:p>
    <w:p w14:paraId="01213E39" w14:textId="77777777" w:rsidR="00B82931" w:rsidRPr="00251BF6" w:rsidRDefault="00B82931" w:rsidP="005E050F">
      <w:pPr>
        <w:pStyle w:val="Fliesstext"/>
      </w:pPr>
      <w:r w:rsidRPr="00251BF6">
        <w:t>www.viscotec.com.cn</w:t>
      </w:r>
    </w:p>
    <w:p w14:paraId="735CC3F5" w14:textId="77777777" w:rsidR="00B82931" w:rsidRPr="00251BF6" w:rsidRDefault="00B82931" w:rsidP="005E050F">
      <w:pPr>
        <w:pStyle w:val="Fliesstext"/>
      </w:pPr>
    </w:p>
    <w:p w14:paraId="48D67123"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65BF16B7" w14:textId="77777777" w:rsidR="005E050F" w:rsidRPr="00251BF6" w:rsidRDefault="005E050F" w:rsidP="00A82FFA">
      <w:pPr>
        <w:rPr>
          <w:lang w:val="en-US"/>
        </w:rPr>
      </w:pPr>
    </w:p>
    <w:p w14:paraId="6ED763DD"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581EF903" w14:textId="77777777" w:rsidR="005B4211" w:rsidRPr="00585A07" w:rsidRDefault="005B4211" w:rsidP="00A82FFA">
      <w:pPr>
        <w:rPr>
          <w:lang w:val="fr-FR"/>
        </w:rPr>
      </w:pPr>
    </w:p>
    <w:p w14:paraId="3743DF4D" w14:textId="77777777" w:rsidR="005E050F" w:rsidRPr="00585A07" w:rsidRDefault="005E050F" w:rsidP="00A82FFA">
      <w:pPr>
        <w:rPr>
          <w:lang w:val="fr-FR"/>
        </w:rPr>
      </w:pPr>
    </w:p>
    <w:p w14:paraId="41DA6670" w14:textId="77777777" w:rsidR="005E050F" w:rsidRPr="00585A07" w:rsidRDefault="005E050F" w:rsidP="00A82FFA">
      <w:pPr>
        <w:rPr>
          <w:lang w:val="fr-FR"/>
        </w:rPr>
      </w:pPr>
    </w:p>
    <w:sectPr w:rsidR="005E050F" w:rsidRPr="00585A07" w:rsidSect="004B3830">
      <w:headerReference w:type="default" r:id="rId16"/>
      <w:footerReference w:type="even" r:id="rId17"/>
      <w:footerReference w:type="default" r:id="rId18"/>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92E10" w14:textId="77777777" w:rsidR="00071B22" w:rsidRDefault="00071B22">
      <w:r>
        <w:separator/>
      </w:r>
    </w:p>
  </w:endnote>
  <w:endnote w:type="continuationSeparator" w:id="0">
    <w:p w14:paraId="31D1BD68" w14:textId="77777777" w:rsidR="00071B22" w:rsidRDefault="00071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6439B" w14:textId="77777777" w:rsidR="00551F5B" w:rsidRDefault="00551F5B">
    <w:pPr>
      <w:pStyle w:val="Fuzeile"/>
    </w:pPr>
  </w:p>
  <w:p w14:paraId="5E1C9721" w14:textId="77777777" w:rsidR="00551F5B" w:rsidRDefault="00551F5B"/>
  <w:p w14:paraId="09DEB6B7" w14:textId="77777777" w:rsidR="00551F5B" w:rsidRDefault="00551F5B"/>
  <w:p w14:paraId="40144945"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A88BB" w14:textId="77777777" w:rsidR="003976F5" w:rsidRDefault="003976F5" w:rsidP="003976F5">
    <w:pPr>
      <w:tabs>
        <w:tab w:val="left" w:pos="3261"/>
      </w:tabs>
      <w:rPr>
        <w:rFonts w:cs="Arial"/>
        <w:noProof/>
        <w:sz w:val="14"/>
        <w:szCs w:val="14"/>
      </w:rPr>
    </w:pPr>
  </w:p>
  <w:p w14:paraId="65EC2800"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155B8888" wp14:editId="73917BD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68700E"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2FC77F70" w14:textId="77777777" w:rsidR="00B266CD" w:rsidRDefault="00B266CD" w:rsidP="003976F5">
    <w:pPr>
      <w:tabs>
        <w:tab w:val="left" w:pos="3261"/>
      </w:tabs>
      <w:rPr>
        <w:rFonts w:cs="Arial"/>
        <w:noProof/>
        <w:sz w:val="14"/>
        <w:szCs w:val="14"/>
      </w:rPr>
    </w:pPr>
  </w:p>
  <w:p w14:paraId="1370B3B2"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65AA7C7E" w14:textId="77777777" w:rsidR="00AE2DD9" w:rsidRPr="00585A07" w:rsidRDefault="00AE2DD9" w:rsidP="003976F5">
    <w:pPr>
      <w:tabs>
        <w:tab w:val="left" w:pos="450"/>
        <w:tab w:val="left" w:pos="3261"/>
        <w:tab w:val="left" w:pos="5954"/>
        <w:tab w:val="left" w:pos="8789"/>
      </w:tabs>
      <w:rPr>
        <w:rFonts w:cs="Arial"/>
        <w:b/>
        <w:noProof/>
        <w:sz w:val="14"/>
        <w:szCs w:val="14"/>
      </w:rPr>
    </w:pPr>
  </w:p>
  <w:p w14:paraId="5876DCE4"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6304FEF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51B6A917" w14:textId="77777777" w:rsidR="004B3830" w:rsidRDefault="004B3830" w:rsidP="00DB594E">
    <w:pPr>
      <w:tabs>
        <w:tab w:val="left" w:pos="3261"/>
      </w:tabs>
      <w:rPr>
        <w:rFonts w:cs="Arial"/>
        <w:noProof/>
        <w:color w:val="7F7F7F"/>
        <w:sz w:val="16"/>
        <w:szCs w:val="16"/>
      </w:rPr>
    </w:pPr>
  </w:p>
  <w:p w14:paraId="6781C340"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C4393" w14:textId="77777777" w:rsidR="00071B22" w:rsidRDefault="00071B22">
      <w:r>
        <w:separator/>
      </w:r>
    </w:p>
  </w:footnote>
  <w:footnote w:type="continuationSeparator" w:id="0">
    <w:p w14:paraId="2307571E" w14:textId="77777777" w:rsidR="00071B22" w:rsidRDefault="00071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C48D4"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2D324298" wp14:editId="7C31962F">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D2BA31" w14:textId="77777777" w:rsidR="00DB594E" w:rsidRDefault="00DB594E">
    <w:pPr>
      <w:rPr>
        <w:rFonts w:cs="Arial"/>
        <w:sz w:val="16"/>
        <w:szCs w:val="16"/>
      </w:rPr>
    </w:pPr>
  </w:p>
  <w:p w14:paraId="263DC717"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F60"/>
    <w:rsid w:val="000023E1"/>
    <w:rsid w:val="0000359E"/>
    <w:rsid w:val="00012C68"/>
    <w:rsid w:val="00036722"/>
    <w:rsid w:val="00060FDA"/>
    <w:rsid w:val="00071B22"/>
    <w:rsid w:val="0008235A"/>
    <w:rsid w:val="000857E6"/>
    <w:rsid w:val="00085A89"/>
    <w:rsid w:val="00092C13"/>
    <w:rsid w:val="000937BB"/>
    <w:rsid w:val="000C26B7"/>
    <w:rsid w:val="000C6345"/>
    <w:rsid w:val="000D7F60"/>
    <w:rsid w:val="000E5075"/>
    <w:rsid w:val="0010182F"/>
    <w:rsid w:val="0011067E"/>
    <w:rsid w:val="00121DC3"/>
    <w:rsid w:val="00125C7C"/>
    <w:rsid w:val="00130F23"/>
    <w:rsid w:val="00150577"/>
    <w:rsid w:val="0016320A"/>
    <w:rsid w:val="00170EF2"/>
    <w:rsid w:val="0017475C"/>
    <w:rsid w:val="00181A8E"/>
    <w:rsid w:val="001827BA"/>
    <w:rsid w:val="00194215"/>
    <w:rsid w:val="001A245A"/>
    <w:rsid w:val="001C790B"/>
    <w:rsid w:val="001D3EAE"/>
    <w:rsid w:val="001D73C3"/>
    <w:rsid w:val="001E381D"/>
    <w:rsid w:val="001F356B"/>
    <w:rsid w:val="001F520D"/>
    <w:rsid w:val="002145DD"/>
    <w:rsid w:val="00242003"/>
    <w:rsid w:val="00251BF6"/>
    <w:rsid w:val="00270FE7"/>
    <w:rsid w:val="002823B0"/>
    <w:rsid w:val="00294735"/>
    <w:rsid w:val="00297513"/>
    <w:rsid w:val="002B2120"/>
    <w:rsid w:val="002E2147"/>
    <w:rsid w:val="002F1753"/>
    <w:rsid w:val="002F4234"/>
    <w:rsid w:val="002F5184"/>
    <w:rsid w:val="00301B89"/>
    <w:rsid w:val="0030370D"/>
    <w:rsid w:val="00353DCC"/>
    <w:rsid w:val="00366EF8"/>
    <w:rsid w:val="00370F60"/>
    <w:rsid w:val="0037310C"/>
    <w:rsid w:val="00390802"/>
    <w:rsid w:val="00393D26"/>
    <w:rsid w:val="003976F5"/>
    <w:rsid w:val="00397B89"/>
    <w:rsid w:val="003D224A"/>
    <w:rsid w:val="003D606D"/>
    <w:rsid w:val="00401BBD"/>
    <w:rsid w:val="004023F4"/>
    <w:rsid w:val="0040374B"/>
    <w:rsid w:val="004111B1"/>
    <w:rsid w:val="00426AC8"/>
    <w:rsid w:val="00431F7F"/>
    <w:rsid w:val="00434E86"/>
    <w:rsid w:val="00454676"/>
    <w:rsid w:val="00470419"/>
    <w:rsid w:val="00473102"/>
    <w:rsid w:val="00474C0B"/>
    <w:rsid w:val="004853FA"/>
    <w:rsid w:val="004B3830"/>
    <w:rsid w:val="004C6A67"/>
    <w:rsid w:val="004D4BBC"/>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611CE1"/>
    <w:rsid w:val="00615DEA"/>
    <w:rsid w:val="0061700A"/>
    <w:rsid w:val="0062736B"/>
    <w:rsid w:val="0062759D"/>
    <w:rsid w:val="00671EB4"/>
    <w:rsid w:val="006B6A7D"/>
    <w:rsid w:val="006C2656"/>
    <w:rsid w:val="006D01F7"/>
    <w:rsid w:val="006E3438"/>
    <w:rsid w:val="006E552A"/>
    <w:rsid w:val="006F198C"/>
    <w:rsid w:val="006F3B66"/>
    <w:rsid w:val="00711926"/>
    <w:rsid w:val="00711B73"/>
    <w:rsid w:val="00721738"/>
    <w:rsid w:val="00735BD6"/>
    <w:rsid w:val="0073733A"/>
    <w:rsid w:val="007475B9"/>
    <w:rsid w:val="007561F9"/>
    <w:rsid w:val="007602BD"/>
    <w:rsid w:val="00760510"/>
    <w:rsid w:val="00773ED5"/>
    <w:rsid w:val="0077677A"/>
    <w:rsid w:val="0078169F"/>
    <w:rsid w:val="007824A4"/>
    <w:rsid w:val="007846A4"/>
    <w:rsid w:val="00794419"/>
    <w:rsid w:val="007A3712"/>
    <w:rsid w:val="007B0AD8"/>
    <w:rsid w:val="007C1D15"/>
    <w:rsid w:val="007F592F"/>
    <w:rsid w:val="007F738F"/>
    <w:rsid w:val="0081217A"/>
    <w:rsid w:val="00814DD8"/>
    <w:rsid w:val="0083310B"/>
    <w:rsid w:val="00872280"/>
    <w:rsid w:val="00873107"/>
    <w:rsid w:val="00881B09"/>
    <w:rsid w:val="008A36FE"/>
    <w:rsid w:val="008B14A5"/>
    <w:rsid w:val="008C0FD4"/>
    <w:rsid w:val="008D154F"/>
    <w:rsid w:val="00904BB2"/>
    <w:rsid w:val="009139CC"/>
    <w:rsid w:val="0092628F"/>
    <w:rsid w:val="00934BB2"/>
    <w:rsid w:val="009467AC"/>
    <w:rsid w:val="009513E0"/>
    <w:rsid w:val="00954F4E"/>
    <w:rsid w:val="00965AEA"/>
    <w:rsid w:val="0098528E"/>
    <w:rsid w:val="00985FB4"/>
    <w:rsid w:val="00986BE5"/>
    <w:rsid w:val="009A27AB"/>
    <w:rsid w:val="009A5722"/>
    <w:rsid w:val="009D2A8B"/>
    <w:rsid w:val="009D2E29"/>
    <w:rsid w:val="009D4116"/>
    <w:rsid w:val="009D5741"/>
    <w:rsid w:val="009E249C"/>
    <w:rsid w:val="009F51C7"/>
    <w:rsid w:val="00A02B05"/>
    <w:rsid w:val="00A15EE2"/>
    <w:rsid w:val="00A16B40"/>
    <w:rsid w:val="00A214ED"/>
    <w:rsid w:val="00A26963"/>
    <w:rsid w:val="00A73DAE"/>
    <w:rsid w:val="00A82FFA"/>
    <w:rsid w:val="00AA274E"/>
    <w:rsid w:val="00AC65A4"/>
    <w:rsid w:val="00AE2DD9"/>
    <w:rsid w:val="00AE7F67"/>
    <w:rsid w:val="00B07030"/>
    <w:rsid w:val="00B11A1C"/>
    <w:rsid w:val="00B1330C"/>
    <w:rsid w:val="00B266CD"/>
    <w:rsid w:val="00B275C4"/>
    <w:rsid w:val="00B30813"/>
    <w:rsid w:val="00B41D41"/>
    <w:rsid w:val="00B42982"/>
    <w:rsid w:val="00B61FBF"/>
    <w:rsid w:val="00B62D25"/>
    <w:rsid w:val="00B65DA7"/>
    <w:rsid w:val="00B82931"/>
    <w:rsid w:val="00B904F9"/>
    <w:rsid w:val="00B960E9"/>
    <w:rsid w:val="00B9622B"/>
    <w:rsid w:val="00BA3432"/>
    <w:rsid w:val="00BC659A"/>
    <w:rsid w:val="00BD35B2"/>
    <w:rsid w:val="00BE3AD2"/>
    <w:rsid w:val="00BE6360"/>
    <w:rsid w:val="00BF37EF"/>
    <w:rsid w:val="00BF4E55"/>
    <w:rsid w:val="00C13A2D"/>
    <w:rsid w:val="00C20448"/>
    <w:rsid w:val="00C450E2"/>
    <w:rsid w:val="00C60AD4"/>
    <w:rsid w:val="00C67124"/>
    <w:rsid w:val="00C733AE"/>
    <w:rsid w:val="00C928C1"/>
    <w:rsid w:val="00C954D5"/>
    <w:rsid w:val="00CA7D41"/>
    <w:rsid w:val="00CD5602"/>
    <w:rsid w:val="00CE60B0"/>
    <w:rsid w:val="00CF5E36"/>
    <w:rsid w:val="00D002C7"/>
    <w:rsid w:val="00D02E03"/>
    <w:rsid w:val="00D33DD0"/>
    <w:rsid w:val="00D44DE7"/>
    <w:rsid w:val="00D60136"/>
    <w:rsid w:val="00D63B8B"/>
    <w:rsid w:val="00D64379"/>
    <w:rsid w:val="00D87E45"/>
    <w:rsid w:val="00D91514"/>
    <w:rsid w:val="00D92E5D"/>
    <w:rsid w:val="00D94C64"/>
    <w:rsid w:val="00D95BA4"/>
    <w:rsid w:val="00D96389"/>
    <w:rsid w:val="00DB594E"/>
    <w:rsid w:val="00DE5663"/>
    <w:rsid w:val="00E66813"/>
    <w:rsid w:val="00E76D03"/>
    <w:rsid w:val="00ED041C"/>
    <w:rsid w:val="00ED0D07"/>
    <w:rsid w:val="00ED7FBF"/>
    <w:rsid w:val="00EE1DDC"/>
    <w:rsid w:val="00F0275E"/>
    <w:rsid w:val="00F05414"/>
    <w:rsid w:val="00F074B2"/>
    <w:rsid w:val="00F2013F"/>
    <w:rsid w:val="00F34DC7"/>
    <w:rsid w:val="00F51D5F"/>
    <w:rsid w:val="00F5216C"/>
    <w:rsid w:val="00F6014F"/>
    <w:rsid w:val="00F614D9"/>
    <w:rsid w:val="00F813D7"/>
    <w:rsid w:val="00F962EB"/>
    <w:rsid w:val="00FC15EE"/>
    <w:rsid w:val="00FE1864"/>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06A9DA"/>
  <w15:chartTrackingRefBased/>
  <w15:docId w15:val="{B2B98E28-DFF4-45E4-83BD-81F8F53B7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 w:type="paragraph" w:styleId="berarbeitung">
    <w:name w:val="Revision"/>
    <w:hidden/>
    <w:uiPriority w:val="99"/>
    <w:semiHidden/>
    <w:rsid w:val="00C954D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m.baden-wuerttemberg.de/fileadmin/redaktion/m-um/intern/Dateien/Dokumente/6_Wirtschaft/Ressourceneffizienz_und_Umwelttechnik/Wasserstoff/200724-Potentialstudie-H2-Baden-Wuerttemberg-bf.pdf"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2.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7020428-D99A-4733-A398-7B21E286D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2624A4-26F6-4257-881D-5FDABC31C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836</Words>
  <Characters>5060</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5885</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8</cp:revision>
  <cp:lastPrinted>2021-12-07T08:50:00Z</cp:lastPrinted>
  <dcterms:created xsi:type="dcterms:W3CDTF">2021-12-22T08:08:00Z</dcterms:created>
  <dcterms:modified xsi:type="dcterms:W3CDTF">2022-03-09T07:35:00Z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