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58D7C" w14:textId="77777777" w:rsidR="0042207B" w:rsidRDefault="0042207B" w:rsidP="00080B04">
      <w:pPr>
        <w:pStyle w:val="Headline1"/>
        <w:jc w:val="both"/>
      </w:pPr>
    </w:p>
    <w:p w14:paraId="10FE1B94" w14:textId="77777777" w:rsidR="0042207B" w:rsidRDefault="0042207B" w:rsidP="00080B04">
      <w:pPr>
        <w:pStyle w:val="Headline1"/>
        <w:jc w:val="both"/>
      </w:pPr>
    </w:p>
    <w:p w14:paraId="2A6B0516" w14:textId="4EB1AB1B" w:rsidR="00C450E2" w:rsidRPr="00031C83" w:rsidRDefault="00F074B2" w:rsidP="00080B04">
      <w:pPr>
        <w:pStyle w:val="Headline1"/>
        <w:jc w:val="both"/>
      </w:pPr>
      <w:r w:rsidRPr="00031C83">
        <w:t>Pressemitteilung</w:t>
      </w:r>
    </w:p>
    <w:p w14:paraId="66AEEC57" w14:textId="77777777" w:rsidR="00A82FFA" w:rsidRPr="00031C83" w:rsidRDefault="00A82FFA" w:rsidP="00080B04">
      <w:pPr>
        <w:jc w:val="both"/>
      </w:pPr>
    </w:p>
    <w:p w14:paraId="5FADAD28" w14:textId="77777777" w:rsidR="00F074B2" w:rsidRPr="00031C83" w:rsidRDefault="00F074B2" w:rsidP="00080B04">
      <w:pPr>
        <w:spacing w:line="360" w:lineRule="auto"/>
        <w:ind w:right="1276"/>
        <w:jc w:val="both"/>
        <w:rPr>
          <w:rFonts w:cs="Arial"/>
          <w:b/>
          <w:bCs/>
          <w:sz w:val="28"/>
          <w:szCs w:val="28"/>
        </w:rPr>
      </w:pPr>
    </w:p>
    <w:p w14:paraId="28419960" w14:textId="49B6BC72" w:rsidR="000E2BA7" w:rsidRPr="00031C83" w:rsidRDefault="003D5495" w:rsidP="00080B04">
      <w:pPr>
        <w:pStyle w:val="Headline1"/>
        <w:jc w:val="both"/>
      </w:pPr>
      <w:r w:rsidRPr="003D5495">
        <w:t>Versiegelung von Bipolarplatten für Brennstoffzellen</w:t>
      </w:r>
    </w:p>
    <w:p w14:paraId="73965FB4" w14:textId="77777777" w:rsidR="003D5495" w:rsidRDefault="003D5495" w:rsidP="00080B04">
      <w:pPr>
        <w:pStyle w:val="Subheadline"/>
        <w:jc w:val="both"/>
      </w:pPr>
    </w:p>
    <w:p w14:paraId="77A5BDEE" w14:textId="662CB0C7" w:rsidR="00F074B2" w:rsidRPr="00031C83" w:rsidRDefault="00704A54" w:rsidP="00080B04">
      <w:pPr>
        <w:pStyle w:val="Subheadline"/>
        <w:jc w:val="both"/>
      </w:pPr>
      <w:r>
        <w:t>Dosierversuche</w:t>
      </w:r>
      <w:r w:rsidR="0090499E">
        <w:t xml:space="preserve"> zur Prozessoptimierung</w:t>
      </w:r>
      <w:r>
        <w:t xml:space="preserve"> im ViscoTec Technikum </w:t>
      </w:r>
    </w:p>
    <w:p w14:paraId="2C744D4C" w14:textId="77777777" w:rsidR="000E2BA7" w:rsidRPr="00031C83" w:rsidRDefault="000E2BA7" w:rsidP="00080B04">
      <w:pPr>
        <w:pStyle w:val="Subheadline"/>
        <w:jc w:val="both"/>
      </w:pPr>
    </w:p>
    <w:p w14:paraId="5835CB23" w14:textId="77777777" w:rsidR="005609D4" w:rsidRPr="00526B60" w:rsidRDefault="005609D4" w:rsidP="00080B04">
      <w:pPr>
        <w:pStyle w:val="Fliesstext"/>
        <w:jc w:val="both"/>
      </w:pPr>
    </w:p>
    <w:p w14:paraId="57109A76" w14:textId="3CC4ADDA" w:rsidR="0099338D" w:rsidRDefault="005E23FB" w:rsidP="00CC288E">
      <w:pPr>
        <w:pStyle w:val="Presse-Fliesstext"/>
      </w:pPr>
      <w:r w:rsidRPr="00526B60">
        <w:t>Die aktuelle</w:t>
      </w:r>
      <w:r w:rsidR="001B64C9" w:rsidRPr="00526B60">
        <w:t xml:space="preserve"> und </w:t>
      </w:r>
      <w:r w:rsidR="00AE32C7" w:rsidRPr="00526B60">
        <w:t>weltweite</w:t>
      </w:r>
      <w:r w:rsidRPr="00526B60">
        <w:t xml:space="preserve"> </w:t>
      </w:r>
      <w:r w:rsidR="003D5495">
        <w:t>Nachfrage nach</w:t>
      </w:r>
      <w:r w:rsidR="002D4E88" w:rsidRPr="00526B60">
        <w:t xml:space="preserve"> </w:t>
      </w:r>
      <w:r w:rsidR="001B64C9" w:rsidRPr="00526B60">
        <w:t>umweltverträgliche</w:t>
      </w:r>
      <w:r w:rsidR="003D5495">
        <w:t>r</w:t>
      </w:r>
      <w:r w:rsidR="002D4E88" w:rsidRPr="00526B60">
        <w:t xml:space="preserve"> </w:t>
      </w:r>
      <w:r w:rsidR="001B64C9" w:rsidRPr="00526B60">
        <w:t>und effiziente</w:t>
      </w:r>
      <w:r w:rsidR="003D5495">
        <w:t>r</w:t>
      </w:r>
      <w:r w:rsidRPr="00526B60">
        <w:t xml:space="preserve"> Mobilität </w:t>
      </w:r>
      <w:r w:rsidR="003D5495">
        <w:t>rückt</w:t>
      </w:r>
      <w:r w:rsidR="001B64C9" w:rsidRPr="00526B60">
        <w:t xml:space="preserve"> die Brennstoffzellen Technologie wieder </w:t>
      </w:r>
      <w:r w:rsidR="003D5495">
        <w:t xml:space="preserve">mehr </w:t>
      </w:r>
      <w:r w:rsidR="001B64C9" w:rsidRPr="00526B60">
        <w:t xml:space="preserve">in den </w:t>
      </w:r>
      <w:r w:rsidR="00B065FA" w:rsidRPr="00526B60">
        <w:t>Fokus</w:t>
      </w:r>
      <w:r w:rsidR="001B64C9" w:rsidRPr="00526B60">
        <w:t xml:space="preserve"> </w:t>
      </w:r>
      <w:r w:rsidR="00526B60" w:rsidRPr="00526B60">
        <w:t>strategischer</w:t>
      </w:r>
      <w:r w:rsidR="001B64C9" w:rsidRPr="00526B60">
        <w:t xml:space="preserve"> Diskussionen</w:t>
      </w:r>
      <w:r w:rsidR="002D4E88" w:rsidRPr="00526B60">
        <w:t>.</w:t>
      </w:r>
      <w:r w:rsidR="00526B60">
        <w:t xml:space="preserve"> </w:t>
      </w:r>
      <w:r w:rsidR="002D4E88" w:rsidRPr="00526B60">
        <w:t>Brennstoffzelle und Wasserstoff</w:t>
      </w:r>
      <w:r w:rsidR="003D5495">
        <w:t xml:space="preserve"> versprechen dabei hohes Potential. </w:t>
      </w:r>
      <w:r w:rsidR="00246789" w:rsidRPr="00526B60">
        <w:t>Betrachtet man Markt und Reifegrad der Technologie ist festzustellen, dass Brennstoffzellen-Anwendungen zwar noch einen geringen Marktanteil beanspruchen aber bereits stark an Dynamik zugelegt haben.</w:t>
      </w:r>
      <w:r w:rsidR="00246789">
        <w:t xml:space="preserve"> </w:t>
      </w:r>
      <w:r w:rsidR="00CC288E">
        <w:t xml:space="preserve">Passend zu dieser Entwicklung fanden </w:t>
      </w:r>
      <w:r w:rsidR="00487918">
        <w:t xml:space="preserve">kürzlich Dosierversuche im ViscoTec Technikum mit </w:t>
      </w:r>
      <w:r w:rsidR="00CC288E" w:rsidRPr="00526B60">
        <w:t>einem Wacker Sili</w:t>
      </w:r>
      <w:r w:rsidR="00487918">
        <w:t>k</w:t>
      </w:r>
      <w:r w:rsidR="00CC288E" w:rsidRPr="00526B60">
        <w:t>on statt</w:t>
      </w:r>
      <w:r w:rsidR="0099338D">
        <w:t xml:space="preserve"> – zur Versiegelung von Bipolarplatten für Brennstoffzellen</w:t>
      </w:r>
      <w:r w:rsidR="00CC288E" w:rsidRPr="00526B60">
        <w:t>.</w:t>
      </w:r>
    </w:p>
    <w:p w14:paraId="2EC9CC94" w14:textId="77777777" w:rsidR="006C7CFA" w:rsidRDefault="00CC288E" w:rsidP="009F2536">
      <w:pPr>
        <w:pStyle w:val="Presse-Fliesstext"/>
      </w:pPr>
      <w:r w:rsidRPr="009F2536">
        <w:t xml:space="preserve">Ziel </w:t>
      </w:r>
      <w:r w:rsidR="00487918" w:rsidRPr="009F2536">
        <w:t xml:space="preserve">der Dosierversuche: </w:t>
      </w:r>
      <w:r w:rsidR="0099338D" w:rsidRPr="009F2536">
        <w:t>D</w:t>
      </w:r>
      <w:r w:rsidRPr="009F2536">
        <w:t xml:space="preserve">ie </w:t>
      </w:r>
      <w:r w:rsidR="0099338D" w:rsidRPr="009F2536">
        <w:t>Dicht</w:t>
      </w:r>
      <w:r w:rsidRPr="009F2536">
        <w:t xml:space="preserve">naht an einer Bipolarplatte unter Einhaltung genauster Vorgaben hinsichtlich Höhentoleranz </w:t>
      </w:r>
      <w:r w:rsidR="0099338D" w:rsidRPr="009F2536">
        <w:t>aufzutragen</w:t>
      </w:r>
      <w:r w:rsidRPr="009F2536">
        <w:t xml:space="preserve">. </w:t>
      </w:r>
      <w:r w:rsidR="00975A2C" w:rsidRPr="009F2536">
        <w:t xml:space="preserve">Dank </w:t>
      </w:r>
      <w:r w:rsidR="007C4B57" w:rsidRPr="009F2536">
        <w:t>solcher</w:t>
      </w:r>
      <w:r w:rsidRPr="009F2536">
        <w:t xml:space="preserve"> Versuche ist es möglich</w:t>
      </w:r>
      <w:r w:rsidR="007C4B57" w:rsidRPr="009F2536">
        <w:t>,</w:t>
      </w:r>
      <w:r w:rsidRPr="009F2536">
        <w:t xml:space="preserve"> Prozessparameter zu eruieren</w:t>
      </w:r>
      <w:r w:rsidR="00975A2C" w:rsidRPr="009F2536">
        <w:t xml:space="preserve"> und </w:t>
      </w:r>
      <w:r w:rsidRPr="009F2536">
        <w:t>Risiken zu minimieren</w:t>
      </w:r>
      <w:r w:rsidR="007C4B57" w:rsidRPr="009F2536">
        <w:t xml:space="preserve"> – um </w:t>
      </w:r>
      <w:r w:rsidRPr="009F2536">
        <w:t>fortlaufen</w:t>
      </w:r>
      <w:r w:rsidR="00975A2C" w:rsidRPr="009F2536">
        <w:t>d</w:t>
      </w:r>
      <w:r w:rsidRPr="009F2536">
        <w:t xml:space="preserve"> Verbesserungsmöglichkeiten ableiten zu können</w:t>
      </w:r>
      <w:r w:rsidR="008A21F8" w:rsidRPr="009F2536">
        <w:t xml:space="preserve">. </w:t>
      </w:r>
      <w:r w:rsidR="004867EE" w:rsidRPr="009F2536">
        <w:t>Der Versuch wurde mit dem 2K Dispe</w:t>
      </w:r>
      <w:r w:rsidR="000D7216">
        <w:t>n</w:t>
      </w:r>
      <w:r w:rsidR="004867EE" w:rsidRPr="009F2536">
        <w:t>ser P4/4 durchgeführt</w:t>
      </w:r>
      <w:r w:rsidR="00396C5C">
        <w:t xml:space="preserve">, bei einer </w:t>
      </w:r>
      <w:r w:rsidR="004867EE" w:rsidRPr="009F2536">
        <w:t xml:space="preserve">Dosiergeschwindigkeit </w:t>
      </w:r>
      <w:r w:rsidR="00396C5C">
        <w:t>von</w:t>
      </w:r>
      <w:r w:rsidR="004867EE" w:rsidRPr="009F2536">
        <w:t xml:space="preserve"> 0,12 ml/s</w:t>
      </w:r>
      <w:r w:rsidR="00396C5C">
        <w:t>. D</w:t>
      </w:r>
      <w:r w:rsidR="000D7216">
        <w:t>ie</w:t>
      </w:r>
      <w:r w:rsidR="004867EE" w:rsidRPr="009F2536">
        <w:t xml:space="preserve"> Toleranz der Dichtraupe lag bei +/-</w:t>
      </w:r>
      <w:r w:rsidR="000D7216">
        <w:t xml:space="preserve"> </w:t>
      </w:r>
      <w:r w:rsidR="004867EE" w:rsidRPr="009F2536">
        <w:t>0,05 mm</w:t>
      </w:r>
      <w:r w:rsidR="00396C5C">
        <w:t xml:space="preserve"> – ein sehr gutes Ergebnis, das die Dosiertechnikexperten aber noch weiter verbessern wollen. </w:t>
      </w:r>
    </w:p>
    <w:p w14:paraId="406AFA5A" w14:textId="6CE4A82E" w:rsidR="00954F33" w:rsidRPr="00526B60" w:rsidRDefault="00B316E5" w:rsidP="003D5495">
      <w:pPr>
        <w:pStyle w:val="Presse-Fliesstext"/>
      </w:pPr>
      <w:r>
        <w:t>Die</w:t>
      </w:r>
      <w:r w:rsidR="008819F7">
        <w:t xml:space="preserve"> </w:t>
      </w:r>
      <w:r w:rsidR="008819F7" w:rsidRPr="009F2536">
        <w:t xml:space="preserve">Systemauslegung </w:t>
      </w:r>
      <w:r>
        <w:t>wird an</w:t>
      </w:r>
      <w:r w:rsidR="008819F7" w:rsidRPr="009F2536">
        <w:t xml:space="preserve"> die Bedürfnisse der Kunden </w:t>
      </w:r>
      <w:r w:rsidR="008819F7">
        <w:t xml:space="preserve">bzw. an die Anforderungen der jeweiligen Anwendung </w:t>
      </w:r>
      <w:r w:rsidR="008819F7" w:rsidRPr="009F2536">
        <w:t xml:space="preserve">angepasst. </w:t>
      </w:r>
      <w:r w:rsidR="008819F7">
        <w:t xml:space="preserve">So kann beispielsweise die </w:t>
      </w:r>
      <w:r w:rsidR="008819F7" w:rsidRPr="009F2536">
        <w:t xml:space="preserve">Dosierleistung individuell eingestellt werden. </w:t>
      </w:r>
      <w:r w:rsidR="00954F33" w:rsidRPr="00526B60">
        <w:t xml:space="preserve">ViscoTec </w:t>
      </w:r>
      <w:r w:rsidR="009A57B1" w:rsidRPr="00526B60">
        <w:t xml:space="preserve">ist als Systemlieferant </w:t>
      </w:r>
      <w:r w:rsidR="00ED55BD" w:rsidRPr="00526B60">
        <w:t xml:space="preserve">für prozesssichere, </w:t>
      </w:r>
      <w:r w:rsidR="00526B60" w:rsidRPr="00526B60">
        <w:t>präzise</w:t>
      </w:r>
      <w:r w:rsidR="00ED55BD" w:rsidRPr="00526B60">
        <w:t xml:space="preserve"> und skalierbare Dosiertechnik </w:t>
      </w:r>
      <w:r w:rsidR="007D0E4E" w:rsidRPr="00526B60">
        <w:t xml:space="preserve">ein gefragter Partner </w:t>
      </w:r>
      <w:r w:rsidR="009A57B1" w:rsidRPr="00526B60">
        <w:t xml:space="preserve">in </w:t>
      </w:r>
      <w:r w:rsidR="007D0E4E">
        <w:t xml:space="preserve">den </w:t>
      </w:r>
      <w:r w:rsidR="009A57B1" w:rsidRPr="00526B60">
        <w:t>verschieden</w:t>
      </w:r>
      <w:r w:rsidR="007D0E4E">
        <w:t>st</w:t>
      </w:r>
      <w:r w:rsidR="009A57B1" w:rsidRPr="00526B60">
        <w:t xml:space="preserve">en Branchen. </w:t>
      </w:r>
      <w:r w:rsidR="00C27CFF">
        <w:t xml:space="preserve">Mithilfe spezieller </w:t>
      </w:r>
      <w:r w:rsidR="001B34B2" w:rsidRPr="00526B60">
        <w:t xml:space="preserve">Business Development </w:t>
      </w:r>
      <w:r w:rsidR="00FE5851" w:rsidRPr="00526B60">
        <w:t xml:space="preserve">Einheiten </w:t>
      </w:r>
      <w:r w:rsidR="00C27CFF">
        <w:t>wird</w:t>
      </w:r>
      <w:r w:rsidR="00FE5851" w:rsidRPr="00526B60">
        <w:t xml:space="preserve"> </w:t>
      </w:r>
      <w:r w:rsidR="00EA7C1C" w:rsidRPr="00526B60">
        <w:t xml:space="preserve">gemeinsam mit Forschungseinrichtungen, </w:t>
      </w:r>
      <w:r w:rsidR="00526B60" w:rsidRPr="00526B60">
        <w:t>Maschinenbauer</w:t>
      </w:r>
      <w:r w:rsidR="00C27CFF">
        <w:t>n</w:t>
      </w:r>
      <w:r w:rsidR="00EA7C1C" w:rsidRPr="00526B60">
        <w:t xml:space="preserve"> und Endkunden </w:t>
      </w:r>
      <w:r w:rsidR="00270BB2" w:rsidRPr="00526B60">
        <w:t xml:space="preserve">an </w:t>
      </w:r>
      <w:r w:rsidR="00526B60" w:rsidRPr="00526B60">
        <w:t>verbesserten</w:t>
      </w:r>
      <w:r w:rsidR="00270BB2" w:rsidRPr="00526B60">
        <w:t xml:space="preserve"> und automatisierten Fertigungs</w:t>
      </w:r>
      <w:r w:rsidR="00175FC9" w:rsidRPr="00526B60">
        <w:t>methoden gearb</w:t>
      </w:r>
      <w:r w:rsidR="00B03382" w:rsidRPr="00526B60">
        <w:t xml:space="preserve">eitet. ViscoTec </w:t>
      </w:r>
      <w:r w:rsidR="00DB4B92" w:rsidRPr="00526B60">
        <w:t xml:space="preserve">kann hier auf </w:t>
      </w:r>
      <w:r w:rsidR="00526B60" w:rsidRPr="00526B60">
        <w:t>vielfältige</w:t>
      </w:r>
      <w:r w:rsidR="00DB4B92" w:rsidRPr="00526B60">
        <w:t xml:space="preserve"> Synergien </w:t>
      </w:r>
      <w:r w:rsidR="00B126F8" w:rsidRPr="00526B60">
        <w:t xml:space="preserve">zurückgreifen, aber dank </w:t>
      </w:r>
      <w:r w:rsidR="006A3E04">
        <w:t>des</w:t>
      </w:r>
      <w:r w:rsidR="00E94895" w:rsidRPr="00526B60">
        <w:t xml:space="preserve"> eigenen</w:t>
      </w:r>
      <w:r w:rsidR="00162353" w:rsidRPr="00526B60">
        <w:t xml:space="preserve"> Technikum</w:t>
      </w:r>
      <w:r w:rsidR="00DD43E1" w:rsidRPr="00526B60">
        <w:t>s</w:t>
      </w:r>
      <w:r w:rsidR="00162353" w:rsidRPr="00526B60">
        <w:t xml:space="preserve"> </w:t>
      </w:r>
      <w:r w:rsidR="0084319A">
        <w:t xml:space="preserve">auch </w:t>
      </w:r>
      <w:r w:rsidR="00162353" w:rsidRPr="00526B60">
        <w:t>umfangreiche Versuche durchführen</w:t>
      </w:r>
      <w:r w:rsidR="00D86DE9">
        <w:t xml:space="preserve"> und </w:t>
      </w:r>
      <w:r w:rsidR="004A66DE">
        <w:t>Prozesswissen generieren.</w:t>
      </w:r>
    </w:p>
    <w:p w14:paraId="7FBC1B4C" w14:textId="3E7B07BD" w:rsidR="00A32F25" w:rsidRPr="00526B60" w:rsidRDefault="006830FA" w:rsidP="003D5495">
      <w:pPr>
        <w:pStyle w:val="Presse-Fliesstext"/>
      </w:pPr>
      <w:r>
        <w:lastRenderedPageBreak/>
        <w:t xml:space="preserve">Auch im </w:t>
      </w:r>
      <w:hyperlink r:id="rId11" w:history="1">
        <w:r w:rsidRPr="003C695E">
          <w:rPr>
            <w:rStyle w:val="Hyperlink"/>
          </w:rPr>
          <w:t>Bereich</w:t>
        </w:r>
        <w:r w:rsidR="00A67389" w:rsidRPr="003C695E">
          <w:rPr>
            <w:rStyle w:val="Hyperlink"/>
          </w:rPr>
          <w:t xml:space="preserve"> Brennstoffzelle</w:t>
        </w:r>
      </w:hyperlink>
      <w:r w:rsidR="00A67389" w:rsidRPr="00526B60">
        <w:t xml:space="preserve"> </w:t>
      </w:r>
      <w:r>
        <w:t>unterstützen die Dosierexperten</w:t>
      </w:r>
      <w:r w:rsidR="00891B88" w:rsidRPr="00526B60">
        <w:t xml:space="preserve"> bei der Erschließung </w:t>
      </w:r>
      <w:r w:rsidR="008718ED" w:rsidRPr="00526B60">
        <w:t xml:space="preserve">des Marktes </w:t>
      </w:r>
      <w:r w:rsidR="00364EBB">
        <w:t>und wollen den Kunden</w:t>
      </w:r>
      <w:r w:rsidR="00CC371F" w:rsidRPr="00526B60">
        <w:t xml:space="preserve"> </w:t>
      </w:r>
      <w:r w:rsidR="00526B60" w:rsidRPr="00526B60">
        <w:t>kontinuierliches</w:t>
      </w:r>
      <w:r w:rsidR="00CC371F" w:rsidRPr="00526B60">
        <w:t xml:space="preserve"> Wachstum ermöglichen</w:t>
      </w:r>
      <w:r w:rsidR="008B655F" w:rsidRPr="00526B60">
        <w:t xml:space="preserve">. </w:t>
      </w:r>
      <w:r w:rsidR="00364EBB">
        <w:t>B</w:t>
      </w:r>
      <w:r w:rsidR="00CC371F" w:rsidRPr="00526B60">
        <w:t xml:space="preserve">ranchenexperten </w:t>
      </w:r>
      <w:r w:rsidR="005A2AA4" w:rsidRPr="00526B60">
        <w:t xml:space="preserve">sehen in </w:t>
      </w:r>
      <w:r w:rsidR="00526B60" w:rsidRPr="00526B60">
        <w:t>diesem</w:t>
      </w:r>
      <w:r w:rsidR="005B55B5" w:rsidRPr="00526B60">
        <w:t xml:space="preserve"> </w:t>
      </w:r>
      <w:r w:rsidR="00526B60" w:rsidRPr="00526B60">
        <w:t>zukünftigen</w:t>
      </w:r>
      <w:r w:rsidR="005A2AA4" w:rsidRPr="00526B60">
        <w:t xml:space="preserve"> Massenmarkt ein Pot</w:t>
      </w:r>
      <w:r w:rsidR="00CD73F4" w:rsidRPr="00526B60">
        <w:t>ential von 65 Mrd</w:t>
      </w:r>
      <w:r w:rsidR="00364EBB">
        <w:t>.</w:t>
      </w:r>
      <w:r w:rsidR="00CD73F4" w:rsidRPr="00526B60">
        <w:t xml:space="preserve"> EUR Umsatz in Europa und </w:t>
      </w:r>
      <w:r w:rsidR="005B55B5" w:rsidRPr="00526B60">
        <w:t>weiter</w:t>
      </w:r>
      <w:r w:rsidR="00EB3EBB" w:rsidRPr="00526B60">
        <w:t>en</w:t>
      </w:r>
      <w:r w:rsidR="005B55B5" w:rsidRPr="00526B60">
        <w:t xml:space="preserve"> 65 Mrd. EUR auf den weltweiten Märkten</w:t>
      </w:r>
      <w:r w:rsidR="00BB0DAA" w:rsidRPr="00526B60">
        <w:t>.</w:t>
      </w:r>
      <w:r w:rsidR="00E611ED" w:rsidRPr="00E611ED">
        <w:rPr>
          <w:vertAlign w:val="superscript"/>
        </w:rPr>
        <w:t>1</w:t>
      </w:r>
      <w:r w:rsidR="00BB0DAA" w:rsidRPr="00526B60">
        <w:t xml:space="preserve"> Besonders China, Japan und Südkorea </w:t>
      </w:r>
      <w:r w:rsidR="00954D14" w:rsidRPr="00526B60">
        <w:t xml:space="preserve">aber auch die USA sollten hier </w:t>
      </w:r>
      <w:r w:rsidR="0051636A" w:rsidRPr="00526B60">
        <w:t xml:space="preserve">als Absatzmärkte berücksichtigt werden, damit </w:t>
      </w:r>
      <w:r w:rsidR="00413EFA">
        <w:t>die</w:t>
      </w:r>
      <w:r w:rsidR="0051636A" w:rsidRPr="00526B60">
        <w:t xml:space="preserve"> </w:t>
      </w:r>
      <w:r w:rsidR="00A8219B" w:rsidRPr="00526B60">
        <w:t xml:space="preserve">bisherige Exportstärke weiterhin für heimische Unternehmen </w:t>
      </w:r>
      <w:r w:rsidR="006D349E" w:rsidRPr="00526B60">
        <w:t>erhalten bleibt.</w:t>
      </w:r>
      <w:r w:rsidR="00413EFA">
        <w:t xml:space="preserve"> </w:t>
      </w:r>
      <w:r w:rsidR="00F11AA7" w:rsidRPr="00526B60">
        <w:t xml:space="preserve">Um zukünftige Wertschöpfungspotentiale </w:t>
      </w:r>
      <w:r w:rsidR="000F3829" w:rsidRPr="00526B60">
        <w:t xml:space="preserve">der Wasserstoff- und Brennstoffzellen- Industrie zu nutzen und </w:t>
      </w:r>
      <w:r w:rsidR="00C04ACB" w:rsidRPr="00526B60">
        <w:t xml:space="preserve">im </w:t>
      </w:r>
      <w:r w:rsidR="00526B60" w:rsidRPr="00526B60">
        <w:t>internationalen</w:t>
      </w:r>
      <w:r w:rsidR="00C04ACB" w:rsidRPr="00526B60">
        <w:t xml:space="preserve"> Wettbewerb </w:t>
      </w:r>
      <w:r w:rsidR="00526B60" w:rsidRPr="00526B60">
        <w:t>konkurrenzfähig</w:t>
      </w:r>
      <w:r w:rsidR="003746D2" w:rsidRPr="00526B60">
        <w:t xml:space="preserve"> </w:t>
      </w:r>
      <w:r w:rsidR="00EC4479" w:rsidRPr="00526B60">
        <w:t>zu bleiben wird es in den nächsten zwei bis fünf Jahren entscheidend sein, vorhandene Kompet</w:t>
      </w:r>
      <w:r w:rsidR="00625B1A" w:rsidRPr="00526B60">
        <w:t>enzen durch Investitionen weiter auf- und auszubauen.</w:t>
      </w:r>
    </w:p>
    <w:p w14:paraId="4900CB4D" w14:textId="28D0D5F7" w:rsidR="00F13E7E" w:rsidRDefault="00625B1A" w:rsidP="003D5495">
      <w:pPr>
        <w:pStyle w:val="Presse-Fliesstext"/>
      </w:pPr>
      <w:r w:rsidRPr="00526B60">
        <w:t xml:space="preserve">ViscoTec ist </w:t>
      </w:r>
      <w:r w:rsidR="0003144B">
        <w:t>jederzeit</w:t>
      </w:r>
      <w:r w:rsidRPr="00526B60">
        <w:t xml:space="preserve"> bereit</w:t>
      </w:r>
      <w:r w:rsidR="0003144B">
        <w:t>,</w:t>
      </w:r>
      <w:r w:rsidRPr="00526B60">
        <w:t xml:space="preserve"> proaktiv zu unterstützen und Mehrwert zu schaffen. </w:t>
      </w:r>
      <w:r w:rsidR="00F57F75">
        <w:t xml:space="preserve">Denn: </w:t>
      </w:r>
      <w:r w:rsidR="007952D7" w:rsidRPr="00526B60">
        <w:t xml:space="preserve">Wird </w:t>
      </w:r>
      <w:r w:rsidR="00807B1B" w:rsidRPr="00526B60">
        <w:t>eine Dosierung zum Verkleben oder Abdichten von Bauteilen wie Bipolarplatten angestrebt so muss wirtschaftlicher Nutzen und technische</w:t>
      </w:r>
      <w:r w:rsidR="00A46736" w:rsidRPr="00526B60">
        <w:t xml:space="preserve"> Sorgfalt bereits bei </w:t>
      </w:r>
      <w:r w:rsidR="00526B60" w:rsidRPr="00526B60">
        <w:t>kleinen</w:t>
      </w:r>
      <w:r w:rsidR="00A46736" w:rsidRPr="00526B60">
        <w:t xml:space="preserve"> Stückzahlen </w:t>
      </w:r>
      <w:r w:rsidR="00F13E7E" w:rsidRPr="00526B60">
        <w:t>möglich sein.</w:t>
      </w:r>
      <w:r w:rsidR="00287527">
        <w:t xml:space="preserve"> </w:t>
      </w:r>
      <w:r w:rsidR="00E27005" w:rsidRPr="00526B60">
        <w:t xml:space="preserve">Es ist </w:t>
      </w:r>
      <w:r w:rsidR="00185D67" w:rsidRPr="00526B60">
        <w:t>daher entscheidend</w:t>
      </w:r>
      <w:r w:rsidR="00287527">
        <w:t xml:space="preserve">, den Einstieg </w:t>
      </w:r>
      <w:r w:rsidR="00185D67" w:rsidRPr="00526B60">
        <w:t>durch moderate Investitionskosten</w:t>
      </w:r>
      <w:r w:rsidR="00B52F19" w:rsidRPr="00526B60">
        <w:t xml:space="preserve"> </w:t>
      </w:r>
      <w:r w:rsidR="00707FA3" w:rsidRPr="00526B60">
        <w:t>zu ermöglichen</w:t>
      </w:r>
      <w:r w:rsidR="00287527">
        <w:t>. A</w:t>
      </w:r>
      <w:r w:rsidR="00707FA3" w:rsidRPr="00526B60">
        <w:t xml:space="preserve">ber auch </w:t>
      </w:r>
      <w:r w:rsidR="00287527" w:rsidRPr="00526B60">
        <w:t xml:space="preserve">die Skalierbarkeit </w:t>
      </w:r>
      <w:r w:rsidR="00707FA3" w:rsidRPr="00526B60">
        <w:t xml:space="preserve">mittels einer durchdachten Systemkonfiguration </w:t>
      </w:r>
      <w:r w:rsidR="008C4B3D" w:rsidRPr="00526B60">
        <w:t>sicher</w:t>
      </w:r>
      <w:r w:rsidR="00A26894" w:rsidRPr="00526B60">
        <w:t>zustellen</w:t>
      </w:r>
      <w:r w:rsidR="00707FA3" w:rsidRPr="00526B60">
        <w:t xml:space="preserve">. </w:t>
      </w:r>
      <w:r w:rsidR="0038582D" w:rsidRPr="00526B60">
        <w:t xml:space="preserve">Besonders Skalierbarkeit und die damit einhergehende </w:t>
      </w:r>
      <w:r w:rsidR="00023D68" w:rsidRPr="00526B60">
        <w:t>Kostend</w:t>
      </w:r>
      <w:r w:rsidR="00AC7F15" w:rsidRPr="00526B60">
        <w:t xml:space="preserve">egression </w:t>
      </w:r>
      <w:r w:rsidR="00E772F0" w:rsidRPr="00526B60">
        <w:t>muss</w:t>
      </w:r>
      <w:r w:rsidR="00AC7F15" w:rsidRPr="00526B60">
        <w:t xml:space="preserve"> für Kunden kalkulierbar sein.</w:t>
      </w:r>
    </w:p>
    <w:p w14:paraId="52A7B86C" w14:textId="181EA425" w:rsidR="00E611ED" w:rsidRDefault="00E611ED" w:rsidP="003D5495">
      <w:pPr>
        <w:pStyle w:val="Presse-Fliesstext"/>
        <w:rPr>
          <w:sz w:val="16"/>
          <w:szCs w:val="16"/>
        </w:rPr>
      </w:pPr>
      <w:r w:rsidRPr="00E611ED">
        <w:rPr>
          <w:sz w:val="16"/>
          <w:szCs w:val="16"/>
          <w:vertAlign w:val="superscript"/>
        </w:rPr>
        <w:t>1</w:t>
      </w:r>
      <w:r w:rsidRPr="00E611ED">
        <w:rPr>
          <w:sz w:val="16"/>
          <w:szCs w:val="16"/>
        </w:rPr>
        <w:t xml:space="preserve"> </w:t>
      </w:r>
      <w:hyperlink r:id="rId12" w:history="1">
        <w:r w:rsidRPr="00244F8E">
          <w:rPr>
            <w:rStyle w:val="Hyperlink"/>
            <w:sz w:val="16"/>
            <w:szCs w:val="16"/>
          </w:rPr>
          <w:t>https://um.baden-wuerttemberg.de/fileadmin/redaktion/m-um/intern/Dateien/Dokumente/6_Wirtschaft/Ressourceneffizienz_und_Umwelttechnik/Wasserstoff/200724-Potentialstudie-H2-Baden-Wuerttemberg-bf.pdf</w:t>
        </w:r>
      </w:hyperlink>
    </w:p>
    <w:p w14:paraId="3AB24859" w14:textId="77777777" w:rsidR="003A6FA7" w:rsidRPr="00A6669F" w:rsidRDefault="003A6FA7" w:rsidP="00080B04">
      <w:pPr>
        <w:pStyle w:val="Fliesstext"/>
        <w:jc w:val="both"/>
      </w:pPr>
    </w:p>
    <w:p w14:paraId="4723E077" w14:textId="69A07B05" w:rsidR="00F074B2" w:rsidRPr="00031C83" w:rsidRDefault="00C361D0" w:rsidP="00080B04">
      <w:pPr>
        <w:pStyle w:val="Fliesstext"/>
        <w:jc w:val="both"/>
      </w:pPr>
      <w:r w:rsidRPr="00A6669F">
        <w:rPr>
          <w:color w:val="FF0000"/>
        </w:rPr>
        <w:t>3.</w:t>
      </w:r>
      <w:r w:rsidR="00E25199">
        <w:rPr>
          <w:color w:val="FF0000"/>
        </w:rPr>
        <w:t>335</w:t>
      </w:r>
      <w:r w:rsidR="00F074B2" w:rsidRPr="00A6669F">
        <w:rPr>
          <w:color w:val="FF0000"/>
        </w:rPr>
        <w:t xml:space="preserve"> </w:t>
      </w:r>
      <w:r w:rsidR="00F074B2" w:rsidRPr="00A6669F">
        <w:t xml:space="preserve">Zeichen inkl. Leerzeichen. </w:t>
      </w:r>
      <w:r w:rsidR="00F074B2" w:rsidRPr="00031C83">
        <w:t>Abdruck honorarfrei. Beleg erbeten.</w:t>
      </w:r>
    </w:p>
    <w:p w14:paraId="46672087" w14:textId="77777777" w:rsidR="000E2BA7" w:rsidRPr="00031C83" w:rsidRDefault="000E2BA7" w:rsidP="00080B04">
      <w:pPr>
        <w:pStyle w:val="Fliesstext"/>
        <w:jc w:val="both"/>
      </w:pPr>
    </w:p>
    <w:p w14:paraId="7D57B913" w14:textId="77777777" w:rsidR="00F074B2" w:rsidRPr="00031C83" w:rsidRDefault="00F074B2" w:rsidP="00080B04">
      <w:pPr>
        <w:spacing w:line="360" w:lineRule="auto"/>
        <w:ind w:right="1273"/>
        <w:jc w:val="both"/>
        <w:rPr>
          <w:rFonts w:cs="Arial"/>
        </w:rPr>
      </w:pPr>
    </w:p>
    <w:p w14:paraId="29640C88" w14:textId="77777777" w:rsidR="00F074B2" w:rsidRPr="00031C83" w:rsidRDefault="00C60AD4" w:rsidP="00080B04">
      <w:pPr>
        <w:pStyle w:val="Subheadline"/>
        <w:jc w:val="both"/>
      </w:pPr>
      <w:r w:rsidRPr="00031C83">
        <w:t>Bildmaterial:</w:t>
      </w:r>
    </w:p>
    <w:p w14:paraId="7E419658" w14:textId="77777777" w:rsidR="000E2BA7" w:rsidRPr="00031C83" w:rsidRDefault="000E2BA7" w:rsidP="00080B04">
      <w:pPr>
        <w:pStyle w:val="Subheadline"/>
        <w:jc w:val="both"/>
      </w:pPr>
    </w:p>
    <w:p w14:paraId="35319F1D" w14:textId="63EA24E2" w:rsidR="00F074B2" w:rsidRDefault="00F074B2" w:rsidP="00080B04">
      <w:pPr>
        <w:pStyle w:val="StandardWeb"/>
        <w:spacing w:line="360" w:lineRule="auto"/>
        <w:ind w:right="1273"/>
        <w:jc w:val="both"/>
        <w:rPr>
          <w:rFonts w:cs="Arial"/>
        </w:rPr>
      </w:pPr>
    </w:p>
    <w:p w14:paraId="01445E32" w14:textId="77777777" w:rsidR="00F7466A" w:rsidRDefault="00F7466A" w:rsidP="00080B04">
      <w:pPr>
        <w:pStyle w:val="StandardWeb"/>
        <w:spacing w:line="360" w:lineRule="auto"/>
        <w:ind w:right="1273"/>
        <w:jc w:val="both"/>
        <w:rPr>
          <w:rFonts w:cs="Arial"/>
        </w:rPr>
      </w:pPr>
      <w:r>
        <w:rPr>
          <w:rFonts w:cs="Arial"/>
          <w:noProof/>
        </w:rPr>
        <w:drawing>
          <wp:inline distT="0" distB="0" distL="0" distR="0" wp14:anchorId="631EB3D6" wp14:editId="391F326C">
            <wp:extent cx="1825465" cy="1028700"/>
            <wp:effectExtent l="19050" t="19050" r="22860" b="19050"/>
            <wp:docPr id="3" name="Grafik 3" descr="Dosierversuch Abdichtung Bipolarplatte für Brennstoffz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Dosierversuch Abdichtung Bipolarplatte für Brennstoffzell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985" cy="1030684"/>
                    </a:xfrm>
                    <a:prstGeom prst="rect">
                      <a:avLst/>
                    </a:prstGeom>
                    <a:noFill/>
                    <a:ln>
                      <a:solidFill>
                        <a:schemeClr val="accent1"/>
                      </a:solidFill>
                    </a:ln>
                  </pic:spPr>
                </pic:pic>
              </a:graphicData>
            </a:graphic>
          </wp:inline>
        </w:drawing>
      </w:r>
    </w:p>
    <w:p w14:paraId="15A3271F" w14:textId="7993EF08" w:rsidR="00C30038" w:rsidRDefault="00C30038" w:rsidP="00C30038">
      <w:pPr>
        <w:pStyle w:val="Bildunterschrift"/>
        <w:jc w:val="both"/>
      </w:pPr>
      <w:r>
        <w:t>Dosierversuch Abdichtung Bipolarplatte für Brennstoffzelle</w:t>
      </w:r>
      <w:r w:rsidRPr="00031C83">
        <w:t>.</w:t>
      </w:r>
    </w:p>
    <w:p w14:paraId="6A191326" w14:textId="77777777" w:rsidR="00C30038" w:rsidRDefault="00C30038" w:rsidP="00080B04">
      <w:pPr>
        <w:pStyle w:val="StandardWeb"/>
        <w:spacing w:line="360" w:lineRule="auto"/>
        <w:ind w:right="1273"/>
        <w:jc w:val="both"/>
        <w:rPr>
          <w:rFonts w:cs="Arial"/>
        </w:rPr>
      </w:pPr>
    </w:p>
    <w:p w14:paraId="0E04218A" w14:textId="241F9162" w:rsidR="00F7466A" w:rsidRPr="00031C83" w:rsidRDefault="00F7466A" w:rsidP="00080B04">
      <w:pPr>
        <w:pStyle w:val="StandardWeb"/>
        <w:spacing w:line="360" w:lineRule="auto"/>
        <w:ind w:right="1273"/>
        <w:jc w:val="both"/>
        <w:rPr>
          <w:rFonts w:cs="Arial"/>
        </w:rPr>
      </w:pPr>
      <w:r>
        <w:rPr>
          <w:rFonts w:cs="Arial"/>
          <w:noProof/>
        </w:rPr>
        <w:lastRenderedPageBreak/>
        <w:drawing>
          <wp:inline distT="0" distB="0" distL="0" distR="0" wp14:anchorId="6F230C21" wp14:editId="5434DD8B">
            <wp:extent cx="1914525" cy="1277302"/>
            <wp:effectExtent l="19050" t="19050" r="9525" b="18415"/>
            <wp:docPr id="4" name="Grafik 4" descr="Hochpräzises Dosierergeb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Hochpräzises Dosierergebni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9672" cy="1287408"/>
                    </a:xfrm>
                    <a:prstGeom prst="rect">
                      <a:avLst/>
                    </a:prstGeom>
                    <a:noFill/>
                    <a:ln>
                      <a:solidFill>
                        <a:schemeClr val="accent1"/>
                      </a:solidFill>
                    </a:ln>
                  </pic:spPr>
                </pic:pic>
              </a:graphicData>
            </a:graphic>
          </wp:inline>
        </w:drawing>
      </w:r>
    </w:p>
    <w:p w14:paraId="4BB1D9CD" w14:textId="3A57A133" w:rsidR="00F074B2" w:rsidRDefault="00C30038" w:rsidP="00080B04">
      <w:pPr>
        <w:pStyle w:val="Bildunterschrift"/>
        <w:jc w:val="both"/>
      </w:pPr>
      <w:r>
        <w:t>Hochpräzises Dosierergebnis</w:t>
      </w:r>
      <w:r w:rsidR="00F074B2" w:rsidRPr="00031C83">
        <w:t>.</w:t>
      </w:r>
    </w:p>
    <w:p w14:paraId="6C39140F" w14:textId="64C3696D" w:rsidR="00CC6735" w:rsidRDefault="00CC6735" w:rsidP="00080B04">
      <w:pPr>
        <w:pStyle w:val="Bildunterschrift"/>
        <w:jc w:val="both"/>
      </w:pPr>
    </w:p>
    <w:p w14:paraId="37B05CAE" w14:textId="483A089A" w:rsidR="00CC6735" w:rsidRDefault="00A35FFD" w:rsidP="00080B04">
      <w:pPr>
        <w:pStyle w:val="Bildunterschrift"/>
        <w:jc w:val="both"/>
      </w:pPr>
      <w:r>
        <w:rPr>
          <w:noProof/>
        </w:rPr>
        <w:drawing>
          <wp:inline distT="0" distB="0" distL="0" distR="0" wp14:anchorId="7568DAE0" wp14:editId="2C64286F">
            <wp:extent cx="2101783" cy="914400"/>
            <wp:effectExtent l="19050" t="19050" r="13335" b="19050"/>
            <wp:docPr id="6" name="Grafik 6" descr="Fokus Brennstoffz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Fokus Brennstoffzelle"/>
                    <pic:cNvPicPr/>
                  </pic:nvPicPr>
                  <pic:blipFill>
                    <a:blip r:embed="rId15"/>
                    <a:stretch>
                      <a:fillRect/>
                    </a:stretch>
                  </pic:blipFill>
                  <pic:spPr>
                    <a:xfrm>
                      <a:off x="0" y="0"/>
                      <a:ext cx="2105658" cy="916086"/>
                    </a:xfrm>
                    <a:prstGeom prst="rect">
                      <a:avLst/>
                    </a:prstGeom>
                    <a:ln>
                      <a:solidFill>
                        <a:schemeClr val="accent1"/>
                      </a:solidFill>
                    </a:ln>
                  </pic:spPr>
                </pic:pic>
              </a:graphicData>
            </a:graphic>
          </wp:inline>
        </w:drawing>
      </w:r>
    </w:p>
    <w:p w14:paraId="08A7F5F7" w14:textId="7DC8BE8B" w:rsidR="00A35FFD" w:rsidRDefault="00E56E16" w:rsidP="00080B04">
      <w:pPr>
        <w:pStyle w:val="Bildunterschrift"/>
        <w:jc w:val="both"/>
      </w:pPr>
      <w:r>
        <w:t>Fokus Brennstoffzelle</w:t>
      </w:r>
    </w:p>
    <w:p w14:paraId="595C1AE7" w14:textId="77777777" w:rsidR="00C45342" w:rsidRDefault="00C45342" w:rsidP="00080B04">
      <w:pPr>
        <w:pStyle w:val="Bildunterschrift"/>
        <w:jc w:val="both"/>
      </w:pPr>
    </w:p>
    <w:p w14:paraId="19F2B6D8" w14:textId="4CB23D35" w:rsidR="00C45342" w:rsidRDefault="00C45342" w:rsidP="00080B04">
      <w:pPr>
        <w:pStyle w:val="Bildunterschrift"/>
        <w:jc w:val="both"/>
      </w:pPr>
      <w:r>
        <w:rPr>
          <w:noProof/>
        </w:rPr>
        <w:drawing>
          <wp:inline distT="0" distB="0" distL="0" distR="0" wp14:anchorId="6CE2FAAF" wp14:editId="28C6EFD8">
            <wp:extent cx="2120265" cy="1879436"/>
            <wp:effectExtent l="19050" t="19050" r="13335" b="26035"/>
            <wp:docPr id="7" name="Grafik 7" descr="Aufbau Brennstoffzellensta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Aufbau Brennstoffzellenstapel"/>
                    <pic:cNvPicPr/>
                  </pic:nvPicPr>
                  <pic:blipFill>
                    <a:blip r:embed="rId16"/>
                    <a:stretch>
                      <a:fillRect/>
                    </a:stretch>
                  </pic:blipFill>
                  <pic:spPr>
                    <a:xfrm>
                      <a:off x="0" y="0"/>
                      <a:ext cx="2133182" cy="1890886"/>
                    </a:xfrm>
                    <a:prstGeom prst="rect">
                      <a:avLst/>
                    </a:prstGeom>
                    <a:ln>
                      <a:solidFill>
                        <a:schemeClr val="accent1"/>
                      </a:solidFill>
                    </a:ln>
                  </pic:spPr>
                </pic:pic>
              </a:graphicData>
            </a:graphic>
          </wp:inline>
        </w:drawing>
      </w:r>
    </w:p>
    <w:p w14:paraId="7EC090D2" w14:textId="6E02D596" w:rsidR="00C45342" w:rsidRDefault="00A776D5" w:rsidP="00C45342">
      <w:pPr>
        <w:pStyle w:val="Bildunterschrift"/>
        <w:jc w:val="both"/>
      </w:pPr>
      <w:r>
        <w:t xml:space="preserve">Aufbau </w:t>
      </w:r>
      <w:r w:rsidRPr="00A776D5">
        <w:t>Brennstoffzellenstapel</w:t>
      </w:r>
    </w:p>
    <w:p w14:paraId="62159483" w14:textId="77777777" w:rsidR="00C45342" w:rsidRDefault="00C45342" w:rsidP="00080B04">
      <w:pPr>
        <w:pStyle w:val="Bildunterschrift"/>
        <w:jc w:val="both"/>
      </w:pPr>
    </w:p>
    <w:p w14:paraId="2A2E6035" w14:textId="77777777" w:rsidR="00E56E16" w:rsidRPr="00031C83" w:rsidRDefault="00E56E16" w:rsidP="00080B04">
      <w:pPr>
        <w:pStyle w:val="Bildunterschrift"/>
        <w:jc w:val="both"/>
      </w:pPr>
    </w:p>
    <w:p w14:paraId="00FD6525" w14:textId="77777777" w:rsidR="00F074B2" w:rsidRPr="00031C83" w:rsidRDefault="00F074B2" w:rsidP="00080B04">
      <w:pPr>
        <w:pStyle w:val="Subheadline"/>
        <w:jc w:val="both"/>
      </w:pPr>
      <w:r w:rsidRPr="00031C83">
        <w:t>ViscoTec – Perfekt dosiert!</w:t>
      </w:r>
    </w:p>
    <w:p w14:paraId="141DDD7D" w14:textId="616CEE4C" w:rsidR="00F074B2" w:rsidRPr="00031C83" w:rsidRDefault="00F074B2" w:rsidP="00080B04">
      <w:pPr>
        <w:pStyle w:val="Fliesstext"/>
        <w:jc w:val="both"/>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China, Singapur</w:t>
      </w:r>
      <w:r w:rsidR="00AD3EFD" w:rsidRPr="00031C83">
        <w:t>, Indien</w:t>
      </w:r>
      <w:r w:rsidRPr="00031C83">
        <w:t xml:space="preserve"> und </w:t>
      </w:r>
      <w:r w:rsidR="00AD3EFD" w:rsidRPr="00031C83">
        <w:t>Frankreich</w:t>
      </w:r>
      <w:r w:rsidRPr="00031C83">
        <w:t xml:space="preserve"> und beschäftigt weltweit rund </w:t>
      </w:r>
      <w:r w:rsidR="001A1904">
        <w:t>300</w:t>
      </w:r>
      <w:r w:rsidRPr="00031C83">
        <w:t xml:space="preserve"> Mitarbeiter</w:t>
      </w:r>
      <w:r w:rsidR="001A1904">
        <w:t>:</w:t>
      </w:r>
      <w:r w:rsidR="006D2D70">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w:t>
      </w:r>
      <w:r w:rsidR="001A1904">
        <w:t>und</w:t>
      </w:r>
      <w:r w:rsidRPr="00031C83">
        <w:t xml:space="preserve"> Tests durchgeführt. ViscoTec Dosierpumpen und Dosieranlagen sind auf den jeweiligen Anwendungsfall optimal abgestimmt: </w:t>
      </w:r>
      <w:r w:rsidR="00031C83" w:rsidRPr="00031C83">
        <w:t>B</w:t>
      </w:r>
      <w:r w:rsidRPr="00031C83">
        <w:t>ei Lebensmittelanwendungen, im Bereich E-Mobility, in der Luft- und Raumfahrt, Medizintechnik, Pharmazie</w:t>
      </w:r>
      <w:r w:rsidR="006D2D70">
        <w:t>, Elektronikfertigung</w:t>
      </w:r>
      <w:r w:rsidRPr="00031C83">
        <w:t xml:space="preserve"> und vielen weiteren Branchen.</w:t>
      </w:r>
    </w:p>
    <w:p w14:paraId="58C6BBDB" w14:textId="77777777" w:rsidR="00F074B2" w:rsidRPr="00031C83" w:rsidRDefault="00F074B2" w:rsidP="00080B04">
      <w:pPr>
        <w:jc w:val="both"/>
        <w:rPr>
          <w:rFonts w:cs="Arial"/>
        </w:rPr>
      </w:pPr>
    </w:p>
    <w:p w14:paraId="5B21B5C8" w14:textId="77777777" w:rsidR="00F074B2" w:rsidRPr="00031C83" w:rsidRDefault="00F074B2" w:rsidP="00080B04">
      <w:pPr>
        <w:spacing w:line="360" w:lineRule="auto"/>
        <w:ind w:right="1273"/>
        <w:jc w:val="both"/>
        <w:rPr>
          <w:rFonts w:cs="Arial"/>
        </w:rPr>
      </w:pPr>
    </w:p>
    <w:p w14:paraId="3747AD7F" w14:textId="77777777" w:rsidR="00F074B2" w:rsidRPr="00031C83" w:rsidRDefault="00F074B2" w:rsidP="00080B04">
      <w:pPr>
        <w:pStyle w:val="Subheadline"/>
        <w:jc w:val="both"/>
      </w:pPr>
      <w:r w:rsidRPr="00031C83">
        <w:t>Pressekontakt:</w:t>
      </w:r>
    </w:p>
    <w:p w14:paraId="53D7B3EE" w14:textId="2FFECEA2" w:rsidR="00F074B2" w:rsidRPr="00031C83" w:rsidRDefault="001A1904" w:rsidP="00080B04">
      <w:pPr>
        <w:pStyle w:val="Fliesstext"/>
        <w:jc w:val="both"/>
      </w:pPr>
      <w:r>
        <w:t>Lisa Kiesenbauer</w:t>
      </w:r>
      <w:r w:rsidR="00F074B2" w:rsidRPr="00031C83">
        <w:t>, Marketing</w:t>
      </w:r>
    </w:p>
    <w:p w14:paraId="151EA6A7" w14:textId="77777777" w:rsidR="00F074B2" w:rsidRPr="00031C83" w:rsidRDefault="00F074B2" w:rsidP="00080B04">
      <w:pPr>
        <w:pStyle w:val="Fliesstext"/>
        <w:jc w:val="both"/>
      </w:pPr>
      <w:r w:rsidRPr="00031C83">
        <w:t>ViscoTec Pumpen- u. Dosiertechnik GmbH</w:t>
      </w:r>
    </w:p>
    <w:p w14:paraId="53EC0B71" w14:textId="77777777" w:rsidR="00F074B2" w:rsidRPr="00031C83" w:rsidRDefault="00F074B2" w:rsidP="00080B04">
      <w:pPr>
        <w:pStyle w:val="Fliesstext"/>
        <w:jc w:val="both"/>
      </w:pPr>
      <w:r w:rsidRPr="00031C83">
        <w:t>Amperstraße 13 | 84513 Töging a. Inn | Germany</w:t>
      </w:r>
    </w:p>
    <w:p w14:paraId="217FBF6D" w14:textId="07C9F42A" w:rsidR="00F074B2" w:rsidRPr="00031C83" w:rsidRDefault="00F074B2" w:rsidP="00080B04">
      <w:pPr>
        <w:pStyle w:val="Fliesstext"/>
        <w:jc w:val="both"/>
      </w:pPr>
      <w:r w:rsidRPr="00031C83">
        <w:t>Tel.: +49 8631 9274-</w:t>
      </w:r>
      <w:r w:rsidR="001A1904">
        <w:t>0</w:t>
      </w:r>
      <w:r w:rsidRPr="00031C83">
        <w:t xml:space="preserve"> </w:t>
      </w:r>
    </w:p>
    <w:p w14:paraId="3CDF761D" w14:textId="2FA5BF46" w:rsidR="00F074B2" w:rsidRPr="00031C83" w:rsidRDefault="001A1904" w:rsidP="00080B04">
      <w:pPr>
        <w:pStyle w:val="Fliesstext"/>
        <w:jc w:val="both"/>
      </w:pPr>
      <w:r>
        <w:t>lisa.kiesenbauer</w:t>
      </w:r>
      <w:r w:rsidR="00F074B2" w:rsidRPr="00031C83">
        <w:t>@viscotec.de | www.viscotec.de</w:t>
      </w:r>
    </w:p>
    <w:sectPr w:rsidR="00F074B2" w:rsidRPr="00031C83" w:rsidSect="004B3830">
      <w:headerReference w:type="default" r:id="rId17"/>
      <w:footerReference w:type="even" r:id="rId18"/>
      <w:footerReference w:type="default" r:id="rId19"/>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F82DD" w14:textId="77777777" w:rsidR="003C3264" w:rsidRDefault="003C3264">
      <w:r>
        <w:separator/>
      </w:r>
    </w:p>
  </w:endnote>
  <w:endnote w:type="continuationSeparator" w:id="0">
    <w:p w14:paraId="409D3E55" w14:textId="77777777" w:rsidR="003C3264" w:rsidRDefault="003C3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423E" w14:textId="77777777" w:rsidR="00551F5B" w:rsidRDefault="00551F5B">
    <w:pPr>
      <w:pStyle w:val="Fuzeile"/>
    </w:pPr>
  </w:p>
  <w:p w14:paraId="3119355E" w14:textId="77777777" w:rsidR="00551F5B" w:rsidRDefault="00551F5B"/>
  <w:p w14:paraId="2F211FC1" w14:textId="77777777" w:rsidR="00551F5B" w:rsidRDefault="00551F5B"/>
  <w:p w14:paraId="24CC0954"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C9E7" w14:textId="77777777" w:rsidR="003976F5" w:rsidRDefault="003976F5" w:rsidP="003976F5">
    <w:pPr>
      <w:tabs>
        <w:tab w:val="left" w:pos="3261"/>
      </w:tabs>
      <w:rPr>
        <w:rFonts w:cs="Arial"/>
        <w:noProof/>
        <w:sz w:val="14"/>
        <w:szCs w:val="14"/>
      </w:rPr>
    </w:pPr>
  </w:p>
  <w:p w14:paraId="56C19961"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74CC5AA4" wp14:editId="5EBE299B">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97AB23"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5C25FED2" w14:textId="77777777" w:rsidR="00B266CD" w:rsidRDefault="00B266CD" w:rsidP="003976F5">
    <w:pPr>
      <w:tabs>
        <w:tab w:val="left" w:pos="3261"/>
      </w:tabs>
      <w:rPr>
        <w:rFonts w:cs="Arial"/>
        <w:noProof/>
        <w:sz w:val="14"/>
        <w:szCs w:val="14"/>
      </w:rPr>
    </w:pPr>
  </w:p>
  <w:p w14:paraId="38AD9D4D"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777852BC" w14:textId="77777777" w:rsidR="00AE2DD9" w:rsidRDefault="00AE2DD9" w:rsidP="003976F5">
    <w:pPr>
      <w:tabs>
        <w:tab w:val="left" w:pos="450"/>
        <w:tab w:val="left" w:pos="3261"/>
        <w:tab w:val="left" w:pos="5954"/>
        <w:tab w:val="left" w:pos="8789"/>
      </w:tabs>
      <w:rPr>
        <w:rFonts w:cs="Arial"/>
        <w:b/>
        <w:noProof/>
        <w:sz w:val="14"/>
        <w:szCs w:val="14"/>
      </w:rPr>
    </w:pPr>
  </w:p>
  <w:p w14:paraId="5E0AE63D"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632F9A62"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344294D8" w14:textId="77777777" w:rsidR="004B3830" w:rsidRDefault="004B3830" w:rsidP="00DB594E">
    <w:pPr>
      <w:tabs>
        <w:tab w:val="left" w:pos="3261"/>
      </w:tabs>
      <w:rPr>
        <w:rFonts w:cs="Arial"/>
        <w:noProof/>
        <w:color w:val="7F7F7F"/>
        <w:sz w:val="16"/>
        <w:szCs w:val="16"/>
      </w:rPr>
    </w:pPr>
  </w:p>
  <w:p w14:paraId="7954E3E1"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D1CA7" w14:textId="77777777" w:rsidR="003C3264" w:rsidRDefault="003C3264">
      <w:r>
        <w:separator/>
      </w:r>
    </w:p>
  </w:footnote>
  <w:footnote w:type="continuationSeparator" w:id="0">
    <w:p w14:paraId="10554357" w14:textId="77777777" w:rsidR="003C3264" w:rsidRDefault="003C3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01E5"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0FE2BF0B" wp14:editId="08C7D1E8">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817EA1" w14:textId="77777777" w:rsidR="00DB594E" w:rsidRDefault="00DB594E">
    <w:pPr>
      <w:rPr>
        <w:rFonts w:cs="Arial"/>
        <w:sz w:val="16"/>
        <w:szCs w:val="16"/>
      </w:rPr>
    </w:pPr>
  </w:p>
  <w:p w14:paraId="2BE3ACCF"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07B"/>
    <w:rsid w:val="000023E1"/>
    <w:rsid w:val="0000359E"/>
    <w:rsid w:val="00012C68"/>
    <w:rsid w:val="00014B5A"/>
    <w:rsid w:val="00023D68"/>
    <w:rsid w:val="0003144B"/>
    <w:rsid w:val="00031C83"/>
    <w:rsid w:val="00033F52"/>
    <w:rsid w:val="00036705"/>
    <w:rsid w:val="00036722"/>
    <w:rsid w:val="0003723D"/>
    <w:rsid w:val="000436DC"/>
    <w:rsid w:val="000519E3"/>
    <w:rsid w:val="000606B0"/>
    <w:rsid w:val="00060FDA"/>
    <w:rsid w:val="00062020"/>
    <w:rsid w:val="00080B04"/>
    <w:rsid w:val="0008235A"/>
    <w:rsid w:val="000857E6"/>
    <w:rsid w:val="00085A89"/>
    <w:rsid w:val="00090F53"/>
    <w:rsid w:val="00092C13"/>
    <w:rsid w:val="000937BB"/>
    <w:rsid w:val="000C6345"/>
    <w:rsid w:val="000D7216"/>
    <w:rsid w:val="000D7F60"/>
    <w:rsid w:val="000E2BA7"/>
    <w:rsid w:val="000F2391"/>
    <w:rsid w:val="000F3829"/>
    <w:rsid w:val="00121DC3"/>
    <w:rsid w:val="00125C7C"/>
    <w:rsid w:val="00130F23"/>
    <w:rsid w:val="00150577"/>
    <w:rsid w:val="00162353"/>
    <w:rsid w:val="00170EF2"/>
    <w:rsid w:val="001753AD"/>
    <w:rsid w:val="00175FC9"/>
    <w:rsid w:val="00181A8E"/>
    <w:rsid w:val="001827BA"/>
    <w:rsid w:val="00185D67"/>
    <w:rsid w:val="00186D5A"/>
    <w:rsid w:val="00190F16"/>
    <w:rsid w:val="00194215"/>
    <w:rsid w:val="001A1904"/>
    <w:rsid w:val="001B34B2"/>
    <w:rsid w:val="001B64C9"/>
    <w:rsid w:val="001C24FD"/>
    <w:rsid w:val="001C2595"/>
    <w:rsid w:val="001C7585"/>
    <w:rsid w:val="001D0B13"/>
    <w:rsid w:val="001D2C9C"/>
    <w:rsid w:val="001D73C3"/>
    <w:rsid w:val="001E381D"/>
    <w:rsid w:val="001F06CD"/>
    <w:rsid w:val="001F356B"/>
    <w:rsid w:val="001F3776"/>
    <w:rsid w:val="001F4419"/>
    <w:rsid w:val="001F520D"/>
    <w:rsid w:val="002145DD"/>
    <w:rsid w:val="0022390C"/>
    <w:rsid w:val="00232C91"/>
    <w:rsid w:val="00241F4D"/>
    <w:rsid w:val="00246789"/>
    <w:rsid w:val="00267869"/>
    <w:rsid w:val="00270BB2"/>
    <w:rsid w:val="00270FE7"/>
    <w:rsid w:val="002823B0"/>
    <w:rsid w:val="00287527"/>
    <w:rsid w:val="00293C6E"/>
    <w:rsid w:val="00294735"/>
    <w:rsid w:val="00297513"/>
    <w:rsid w:val="002B2120"/>
    <w:rsid w:val="002B507B"/>
    <w:rsid w:val="002D4E88"/>
    <w:rsid w:val="002E2147"/>
    <w:rsid w:val="002F1753"/>
    <w:rsid w:val="002F245B"/>
    <w:rsid w:val="002F4234"/>
    <w:rsid w:val="00301B89"/>
    <w:rsid w:val="0030370D"/>
    <w:rsid w:val="00320BB0"/>
    <w:rsid w:val="00353DCC"/>
    <w:rsid w:val="00353EE8"/>
    <w:rsid w:val="00364EBB"/>
    <w:rsid w:val="00366EF8"/>
    <w:rsid w:val="0037310C"/>
    <w:rsid w:val="0037430A"/>
    <w:rsid w:val="003746D2"/>
    <w:rsid w:val="0038026E"/>
    <w:rsid w:val="0038582D"/>
    <w:rsid w:val="00390802"/>
    <w:rsid w:val="00393D26"/>
    <w:rsid w:val="00396C5C"/>
    <w:rsid w:val="003976F5"/>
    <w:rsid w:val="00397B89"/>
    <w:rsid w:val="003A6FA7"/>
    <w:rsid w:val="003C3264"/>
    <w:rsid w:val="003C695E"/>
    <w:rsid w:val="003D224A"/>
    <w:rsid w:val="003D5495"/>
    <w:rsid w:val="003D606D"/>
    <w:rsid w:val="00401BBD"/>
    <w:rsid w:val="004023F4"/>
    <w:rsid w:val="004111B1"/>
    <w:rsid w:val="00413EFA"/>
    <w:rsid w:val="0042207B"/>
    <w:rsid w:val="00426AC8"/>
    <w:rsid w:val="00427BE4"/>
    <w:rsid w:val="00431F7F"/>
    <w:rsid w:val="00454676"/>
    <w:rsid w:val="00473102"/>
    <w:rsid w:val="004867EE"/>
    <w:rsid w:val="00487918"/>
    <w:rsid w:val="004A5A49"/>
    <w:rsid w:val="004A66DE"/>
    <w:rsid w:val="004B3830"/>
    <w:rsid w:val="004C498E"/>
    <w:rsid w:val="004C6A67"/>
    <w:rsid w:val="004D25E7"/>
    <w:rsid w:val="004F398D"/>
    <w:rsid w:val="004F5700"/>
    <w:rsid w:val="0050281D"/>
    <w:rsid w:val="005075EC"/>
    <w:rsid w:val="00513156"/>
    <w:rsid w:val="00515151"/>
    <w:rsid w:val="0051636A"/>
    <w:rsid w:val="0052307D"/>
    <w:rsid w:val="00525A7B"/>
    <w:rsid w:val="00526B60"/>
    <w:rsid w:val="00533C74"/>
    <w:rsid w:val="00534826"/>
    <w:rsid w:val="00535911"/>
    <w:rsid w:val="005363AD"/>
    <w:rsid w:val="00551F5B"/>
    <w:rsid w:val="005566EC"/>
    <w:rsid w:val="005609D4"/>
    <w:rsid w:val="0056246C"/>
    <w:rsid w:val="005624D6"/>
    <w:rsid w:val="00562844"/>
    <w:rsid w:val="005726B7"/>
    <w:rsid w:val="00583CC5"/>
    <w:rsid w:val="005855AE"/>
    <w:rsid w:val="0058577D"/>
    <w:rsid w:val="005A2AA4"/>
    <w:rsid w:val="005B55B5"/>
    <w:rsid w:val="005C2903"/>
    <w:rsid w:val="005C40A1"/>
    <w:rsid w:val="005D7E04"/>
    <w:rsid w:val="005E23FB"/>
    <w:rsid w:val="005F2038"/>
    <w:rsid w:val="005F5262"/>
    <w:rsid w:val="00611CE1"/>
    <w:rsid w:val="00615DEA"/>
    <w:rsid w:val="0061700A"/>
    <w:rsid w:val="00617A49"/>
    <w:rsid w:val="00625B1A"/>
    <w:rsid w:val="0062736B"/>
    <w:rsid w:val="0062759D"/>
    <w:rsid w:val="006671A6"/>
    <w:rsid w:val="00671EB4"/>
    <w:rsid w:val="006830FA"/>
    <w:rsid w:val="006A3E04"/>
    <w:rsid w:val="006C2656"/>
    <w:rsid w:val="006C7CFA"/>
    <w:rsid w:val="006D2D70"/>
    <w:rsid w:val="006D349E"/>
    <w:rsid w:val="006E552A"/>
    <w:rsid w:val="006F198C"/>
    <w:rsid w:val="006F321D"/>
    <w:rsid w:val="006F340B"/>
    <w:rsid w:val="006F67CC"/>
    <w:rsid w:val="00703BDA"/>
    <w:rsid w:val="00704A54"/>
    <w:rsid w:val="00707FA3"/>
    <w:rsid w:val="00711926"/>
    <w:rsid w:val="00711B73"/>
    <w:rsid w:val="00721738"/>
    <w:rsid w:val="00735BD6"/>
    <w:rsid w:val="0073733A"/>
    <w:rsid w:val="007475B9"/>
    <w:rsid w:val="007561F9"/>
    <w:rsid w:val="007602BD"/>
    <w:rsid w:val="00760510"/>
    <w:rsid w:val="00771EBB"/>
    <w:rsid w:val="00773ED5"/>
    <w:rsid w:val="0077677A"/>
    <w:rsid w:val="00780B55"/>
    <w:rsid w:val="007824A4"/>
    <w:rsid w:val="00792C2F"/>
    <w:rsid w:val="007952D7"/>
    <w:rsid w:val="007B0AD8"/>
    <w:rsid w:val="007C1D15"/>
    <w:rsid w:val="007C3631"/>
    <w:rsid w:val="007C3A1D"/>
    <w:rsid w:val="007C4B57"/>
    <w:rsid w:val="007D0E4E"/>
    <w:rsid w:val="007D2CA0"/>
    <w:rsid w:val="007F592F"/>
    <w:rsid w:val="007F738F"/>
    <w:rsid w:val="00807B1B"/>
    <w:rsid w:val="00814DD8"/>
    <w:rsid w:val="0083310B"/>
    <w:rsid w:val="0084319A"/>
    <w:rsid w:val="00843339"/>
    <w:rsid w:val="00845059"/>
    <w:rsid w:val="008718ED"/>
    <w:rsid w:val="00872280"/>
    <w:rsid w:val="00873107"/>
    <w:rsid w:val="008819F7"/>
    <w:rsid w:val="00881B09"/>
    <w:rsid w:val="00891B88"/>
    <w:rsid w:val="0089306A"/>
    <w:rsid w:val="008A21F8"/>
    <w:rsid w:val="008A36FE"/>
    <w:rsid w:val="008B14A5"/>
    <w:rsid w:val="008B2C47"/>
    <w:rsid w:val="008B655F"/>
    <w:rsid w:val="008C0FD4"/>
    <w:rsid w:val="008C4B3D"/>
    <w:rsid w:val="008D154F"/>
    <w:rsid w:val="008D5F11"/>
    <w:rsid w:val="008E2612"/>
    <w:rsid w:val="008F4800"/>
    <w:rsid w:val="0090499E"/>
    <w:rsid w:val="00904BB2"/>
    <w:rsid w:val="00910AEB"/>
    <w:rsid w:val="009139CC"/>
    <w:rsid w:val="0092628F"/>
    <w:rsid w:val="00942559"/>
    <w:rsid w:val="009467AC"/>
    <w:rsid w:val="009513E0"/>
    <w:rsid w:val="00954D14"/>
    <w:rsid w:val="00954F33"/>
    <w:rsid w:val="00965AEA"/>
    <w:rsid w:val="00975681"/>
    <w:rsid w:val="00975A2C"/>
    <w:rsid w:val="0098528E"/>
    <w:rsid w:val="00985FB4"/>
    <w:rsid w:val="00986BE5"/>
    <w:rsid w:val="0099338D"/>
    <w:rsid w:val="009A5722"/>
    <w:rsid w:val="009A57B1"/>
    <w:rsid w:val="009C4E1B"/>
    <w:rsid w:val="009D2A8B"/>
    <w:rsid w:val="009D2E29"/>
    <w:rsid w:val="009D4116"/>
    <w:rsid w:val="009E02E6"/>
    <w:rsid w:val="009E249C"/>
    <w:rsid w:val="009F2536"/>
    <w:rsid w:val="009F51C7"/>
    <w:rsid w:val="009F5824"/>
    <w:rsid w:val="00A15EE2"/>
    <w:rsid w:val="00A16B40"/>
    <w:rsid w:val="00A214ED"/>
    <w:rsid w:val="00A22E89"/>
    <w:rsid w:val="00A26894"/>
    <w:rsid w:val="00A308C0"/>
    <w:rsid w:val="00A32F25"/>
    <w:rsid w:val="00A35FFD"/>
    <w:rsid w:val="00A36FD8"/>
    <w:rsid w:val="00A46736"/>
    <w:rsid w:val="00A6669F"/>
    <w:rsid w:val="00A67389"/>
    <w:rsid w:val="00A776D5"/>
    <w:rsid w:val="00A8219B"/>
    <w:rsid w:val="00A82FFA"/>
    <w:rsid w:val="00AA274E"/>
    <w:rsid w:val="00AB555B"/>
    <w:rsid w:val="00AC65A4"/>
    <w:rsid w:val="00AC7F15"/>
    <w:rsid w:val="00AD0E89"/>
    <w:rsid w:val="00AD3EFD"/>
    <w:rsid w:val="00AD4F4E"/>
    <w:rsid w:val="00AE2DD9"/>
    <w:rsid w:val="00AE32C7"/>
    <w:rsid w:val="00AE7F67"/>
    <w:rsid w:val="00B02F22"/>
    <w:rsid w:val="00B03382"/>
    <w:rsid w:val="00B065FA"/>
    <w:rsid w:val="00B07030"/>
    <w:rsid w:val="00B118BF"/>
    <w:rsid w:val="00B11A1C"/>
    <w:rsid w:val="00B126F8"/>
    <w:rsid w:val="00B1330C"/>
    <w:rsid w:val="00B266CD"/>
    <w:rsid w:val="00B275C4"/>
    <w:rsid w:val="00B30813"/>
    <w:rsid w:val="00B316E5"/>
    <w:rsid w:val="00B3264E"/>
    <w:rsid w:val="00B41D41"/>
    <w:rsid w:val="00B42982"/>
    <w:rsid w:val="00B52F19"/>
    <w:rsid w:val="00B61482"/>
    <w:rsid w:val="00B61FBF"/>
    <w:rsid w:val="00B65DA7"/>
    <w:rsid w:val="00B902AC"/>
    <w:rsid w:val="00B904F9"/>
    <w:rsid w:val="00B9622B"/>
    <w:rsid w:val="00BB0DAA"/>
    <w:rsid w:val="00BD3047"/>
    <w:rsid w:val="00BE3AD2"/>
    <w:rsid w:val="00BE4214"/>
    <w:rsid w:val="00BE6360"/>
    <w:rsid w:val="00BF37EF"/>
    <w:rsid w:val="00BF4E55"/>
    <w:rsid w:val="00C00B02"/>
    <w:rsid w:val="00C02A29"/>
    <w:rsid w:val="00C04ACB"/>
    <w:rsid w:val="00C13A2D"/>
    <w:rsid w:val="00C27CFF"/>
    <w:rsid w:val="00C30038"/>
    <w:rsid w:val="00C361D0"/>
    <w:rsid w:val="00C419B0"/>
    <w:rsid w:val="00C450E2"/>
    <w:rsid w:val="00C45342"/>
    <w:rsid w:val="00C60AD4"/>
    <w:rsid w:val="00C67124"/>
    <w:rsid w:val="00C733AE"/>
    <w:rsid w:val="00C928C1"/>
    <w:rsid w:val="00C95276"/>
    <w:rsid w:val="00CA7D41"/>
    <w:rsid w:val="00CC288E"/>
    <w:rsid w:val="00CC371F"/>
    <w:rsid w:val="00CC6735"/>
    <w:rsid w:val="00CD5602"/>
    <w:rsid w:val="00CD73F4"/>
    <w:rsid w:val="00CE60B0"/>
    <w:rsid w:val="00CF28CD"/>
    <w:rsid w:val="00CF5E36"/>
    <w:rsid w:val="00D002C7"/>
    <w:rsid w:val="00D02E03"/>
    <w:rsid w:val="00D33DD0"/>
    <w:rsid w:val="00D3643A"/>
    <w:rsid w:val="00D60136"/>
    <w:rsid w:val="00D601DB"/>
    <w:rsid w:val="00D64379"/>
    <w:rsid w:val="00D86DE9"/>
    <w:rsid w:val="00D91514"/>
    <w:rsid w:val="00D92E5D"/>
    <w:rsid w:val="00D94C64"/>
    <w:rsid w:val="00D95BA4"/>
    <w:rsid w:val="00D96389"/>
    <w:rsid w:val="00DB4B92"/>
    <w:rsid w:val="00DB594E"/>
    <w:rsid w:val="00DB65A6"/>
    <w:rsid w:val="00DC622E"/>
    <w:rsid w:val="00DD1837"/>
    <w:rsid w:val="00DD43E1"/>
    <w:rsid w:val="00DE0BF2"/>
    <w:rsid w:val="00DE5663"/>
    <w:rsid w:val="00DF425C"/>
    <w:rsid w:val="00E01503"/>
    <w:rsid w:val="00E037F8"/>
    <w:rsid w:val="00E218CD"/>
    <w:rsid w:val="00E25199"/>
    <w:rsid w:val="00E27005"/>
    <w:rsid w:val="00E30367"/>
    <w:rsid w:val="00E56E16"/>
    <w:rsid w:val="00E611ED"/>
    <w:rsid w:val="00E66813"/>
    <w:rsid w:val="00E67149"/>
    <w:rsid w:val="00E76D03"/>
    <w:rsid w:val="00E772F0"/>
    <w:rsid w:val="00E7781F"/>
    <w:rsid w:val="00E92B7F"/>
    <w:rsid w:val="00E94895"/>
    <w:rsid w:val="00EA7C1C"/>
    <w:rsid w:val="00EB3EBB"/>
    <w:rsid w:val="00EC1907"/>
    <w:rsid w:val="00EC4479"/>
    <w:rsid w:val="00ED041C"/>
    <w:rsid w:val="00ED55BD"/>
    <w:rsid w:val="00ED7FBF"/>
    <w:rsid w:val="00EE1DDC"/>
    <w:rsid w:val="00EF4F8B"/>
    <w:rsid w:val="00EF5BCC"/>
    <w:rsid w:val="00F0275E"/>
    <w:rsid w:val="00F074B2"/>
    <w:rsid w:val="00F11AA7"/>
    <w:rsid w:val="00F13E7E"/>
    <w:rsid w:val="00F34DC7"/>
    <w:rsid w:val="00F40570"/>
    <w:rsid w:val="00F5216C"/>
    <w:rsid w:val="00F57F75"/>
    <w:rsid w:val="00F6014F"/>
    <w:rsid w:val="00F60ED1"/>
    <w:rsid w:val="00F614D9"/>
    <w:rsid w:val="00F65B7D"/>
    <w:rsid w:val="00F7466A"/>
    <w:rsid w:val="00F813D7"/>
    <w:rsid w:val="00F962EB"/>
    <w:rsid w:val="00FA2F2B"/>
    <w:rsid w:val="00FB6470"/>
    <w:rsid w:val="00FE5851"/>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8D57E3"/>
  <w15:chartTrackingRefBased/>
  <w15:docId w15:val="{073D55FF-7C01-40BD-84F6-CF39759E6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Kommentarzeichen">
    <w:name w:val="annotation reference"/>
    <w:basedOn w:val="Absatz-Standardschriftart"/>
    <w:uiPriority w:val="99"/>
    <w:semiHidden/>
    <w:unhideWhenUsed/>
    <w:rsid w:val="001F4419"/>
    <w:rPr>
      <w:sz w:val="16"/>
      <w:szCs w:val="16"/>
    </w:rPr>
  </w:style>
  <w:style w:type="paragraph" w:styleId="Kommentarthema">
    <w:name w:val="annotation subject"/>
    <w:basedOn w:val="Kommentartext"/>
    <w:next w:val="Kommentartext"/>
    <w:link w:val="KommentarthemaZchn"/>
    <w:uiPriority w:val="99"/>
    <w:semiHidden/>
    <w:unhideWhenUsed/>
    <w:rsid w:val="001F4419"/>
    <w:rPr>
      <w:b/>
      <w:bCs/>
    </w:rPr>
  </w:style>
  <w:style w:type="character" w:customStyle="1" w:styleId="KommentartextZchn">
    <w:name w:val="Kommentartext Zchn"/>
    <w:basedOn w:val="Absatz-Standardschriftart"/>
    <w:link w:val="Kommentartext"/>
    <w:semiHidden/>
    <w:rsid w:val="001F4419"/>
    <w:rPr>
      <w:rFonts w:ascii="Arial" w:hAnsi="Arial"/>
    </w:rPr>
  </w:style>
  <w:style w:type="character" w:customStyle="1" w:styleId="KommentarthemaZchn">
    <w:name w:val="Kommentarthema Zchn"/>
    <w:basedOn w:val="KommentartextZchn"/>
    <w:link w:val="Kommentarthema"/>
    <w:uiPriority w:val="99"/>
    <w:semiHidden/>
    <w:rsid w:val="001F4419"/>
    <w:rPr>
      <w:rFonts w:ascii="Arial" w:hAnsi="Arial"/>
      <w:b/>
      <w:bCs/>
    </w:rPr>
  </w:style>
  <w:style w:type="character" w:customStyle="1" w:styleId="cf01">
    <w:name w:val="cf01"/>
    <w:basedOn w:val="Absatz-Standardschriftart"/>
    <w:rsid w:val="004867EE"/>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E61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895746534">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m.baden-wuerttemberg.de/fileadmin/redaktion/m-um/intern/Dateien/Dokumente/6_Wirtschaft/Ressourceneffizienz_und_Umwelttechnik/Wasserstoff/200724-Potentialstudie-H2-Baden-Wuerttemberg-bf.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aktuelles/whitepaper/dosiertechnologie-fuer-die-brennstoffzellen-fertigung/"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6BD39E5-45FC-459E-94ED-0A933F2C4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4</Pages>
  <Words>631</Words>
  <Characters>5134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5754</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Pulzer, Robert</dc:creator>
  <cp:keywords/>
  <cp:lastModifiedBy>Kiesenbauer, Lisa</cp:lastModifiedBy>
  <cp:revision>5</cp:revision>
  <cp:lastPrinted>2012-02-28T06:54:00Z</cp:lastPrinted>
  <dcterms:created xsi:type="dcterms:W3CDTF">2021-11-25T13:48:00Z</dcterms:created>
  <dcterms:modified xsi:type="dcterms:W3CDTF">2022-03-09T07:35:00Z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