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5F72" w14:textId="4975EB11" w:rsidR="00595668" w:rsidRDefault="00EF500B" w:rsidP="00595668">
      <w:pPr>
        <w:pStyle w:val="Headline1"/>
      </w:pPr>
      <w:r>
        <w:t>Un plus pour l’assurance qualité : la surveillance des pressions liées au processus</w:t>
      </w:r>
    </w:p>
    <w:p w14:paraId="669DA39D" w14:textId="77777777" w:rsidR="00595668" w:rsidRDefault="00595668" w:rsidP="00595668">
      <w:pPr>
        <w:pStyle w:val="Subheadline"/>
      </w:pPr>
    </w:p>
    <w:p w14:paraId="4D0FFEF4" w14:textId="21B5FF0C" w:rsidR="000E2BA7" w:rsidRDefault="00595668" w:rsidP="00595668">
      <w:pPr>
        <w:pStyle w:val="Subheadline"/>
      </w:pPr>
      <w:r>
        <w:t xml:space="preserve">L’unité d’évaluation collecte les données pour l’évaluation et l’analyse </w:t>
      </w:r>
    </w:p>
    <w:p w14:paraId="7938A0DE" w14:textId="77777777" w:rsidR="00595668" w:rsidRDefault="00595668" w:rsidP="000E2BA7">
      <w:pPr>
        <w:pStyle w:val="Subheadline"/>
      </w:pPr>
    </w:p>
    <w:p w14:paraId="6E0351B8" w14:textId="77777777" w:rsidR="00595668" w:rsidRPr="0007252B" w:rsidRDefault="00595668" w:rsidP="000E2BA7">
      <w:pPr>
        <w:pStyle w:val="Subheadline"/>
      </w:pPr>
    </w:p>
    <w:p w14:paraId="638B11D0" w14:textId="34650ED1" w:rsidR="0079137E" w:rsidRDefault="00B61503" w:rsidP="002D4BA5">
      <w:pPr>
        <w:pStyle w:val="Presse-Fliesstext"/>
      </w:pPr>
      <w:r>
        <w:t>Bientôt, les utilisateurs disposant d’un doseur autonome pourront contrôler et évaluer les pressions de leur processus de dosage. L’</w:t>
      </w:r>
      <w:r>
        <w:rPr>
          <w:rStyle w:val="cf01"/>
          <w:rFonts w:ascii="Arial" w:hAnsi="Arial"/>
          <w:sz w:val="22"/>
        </w:rPr>
        <w:t xml:space="preserve">unité d’évaluation </w:t>
      </w:r>
      <w:proofErr w:type="spellStart"/>
      <w:r>
        <w:rPr>
          <w:rStyle w:val="cf01"/>
          <w:rFonts w:ascii="Arial" w:hAnsi="Arial"/>
          <w:sz w:val="22"/>
        </w:rPr>
        <w:t>flowplus</w:t>
      </w:r>
      <w:proofErr w:type="spellEnd"/>
      <w:r>
        <w:rPr>
          <w:rStyle w:val="cf01"/>
          <w:rFonts w:ascii="Arial" w:hAnsi="Arial"/>
          <w:sz w:val="22"/>
        </w:rPr>
        <w:t>-MONITOR QC</w:t>
      </w:r>
      <w:r>
        <w:t xml:space="preserve">, à l’utilisation flexible, s’en chargera grâce à ses deux canaux. Elle est adaptée à la surveillance des systèmes à </w:t>
      </w:r>
      <w:proofErr w:type="spellStart"/>
      <w:r>
        <w:t>monocomposant</w:t>
      </w:r>
      <w:proofErr w:type="spellEnd"/>
      <w:r>
        <w:t xml:space="preserve"> ou </w:t>
      </w:r>
      <w:proofErr w:type="spellStart"/>
      <w:r>
        <w:t>bicomposant</w:t>
      </w:r>
      <w:proofErr w:type="spellEnd"/>
      <w:r>
        <w:t xml:space="preserve">. Il est également possible, au choix, d’affecter la pression d’admission à un canal et le signal de pression de dosage au deuxième. Les variantes d’utilisation mentionnées présentent, surtout pour les clients avec des modèles de commande plus anciens, un plus pour leur assurance qualité : Les données peuvent en effet être collectées, enregistrées et évaluées. L’exportation et la documentation des valeurs de mesure s’effectuent sur une clé USB, via une interface correspondante. Cette interface sert également au chargement des mises à jour de l’unité d’évaluation. </w:t>
      </w:r>
      <w:r>
        <w:br/>
        <w:t xml:space="preserve">De plus, </w:t>
      </w:r>
      <w:proofErr w:type="spellStart"/>
      <w:r>
        <w:t>flowplus</w:t>
      </w:r>
      <w:proofErr w:type="spellEnd"/>
      <w:r>
        <w:t xml:space="preserve">-MONITOR QC dispose d’une interface </w:t>
      </w:r>
      <w:proofErr w:type="spellStart"/>
      <w:r>
        <w:t>Sub</w:t>
      </w:r>
      <w:proofErr w:type="spellEnd"/>
      <w:r>
        <w:t xml:space="preserve">-D 15 broches, ce qui assure une connexion parfaite à des systèmes superordonnés. Grâce au plug &amp; </w:t>
      </w:r>
      <w:proofErr w:type="spellStart"/>
      <w:r>
        <w:t>play</w:t>
      </w:r>
      <w:proofErr w:type="spellEnd"/>
      <w:r>
        <w:t xml:space="preserve">, la mise en service est aisée et les capteurs sont raccordés sur des prises à bride M8 standards à quatre broches. Les signaux de tension sont traités entre 0 et 10 V, ce qui fait de l’unité d’évaluation un instrument d’assurance qualité optimal, en association avec les capteurs flowplus16 ou </w:t>
      </w:r>
      <w:proofErr w:type="spellStart"/>
      <w:r>
        <w:t>flowplus</w:t>
      </w:r>
      <w:proofErr w:type="spellEnd"/>
      <w:r>
        <w:t xml:space="preserve">-SPT M6. Les plages de valeurs correspondantes (0-16 bar pour flowplus16 et 0-40 bar pour </w:t>
      </w:r>
      <w:proofErr w:type="spellStart"/>
      <w:r>
        <w:t>flowplus</w:t>
      </w:r>
      <w:proofErr w:type="spellEnd"/>
      <w:r>
        <w:t xml:space="preserve">-SPT M6) peuvent être modifiées facilement dans les réglages. L’utilisation de l’unité d’évaluation </w:t>
      </w:r>
      <w:proofErr w:type="spellStart"/>
      <w:r>
        <w:t>flowplus</w:t>
      </w:r>
      <w:proofErr w:type="spellEnd"/>
      <w:r>
        <w:t xml:space="preserve">-MONITOR QC s’effectue de manière intuitive sur un écran tactile couleur de 5 pouces. Les signaux de pression et les courbes limites sont représentés sur une vue, avec plusieurs niveaux d’écran qui assurent un paramétrage détaillé des valeurs de mesure. Les représentations en couleur facilitent la clarté des contenus. De plus, les utilisateurs ont la possibilité d’évaluer leurs signaux de pression au moyen des courbes limites et plages prédéfinies. La détermination de ces valeurs s’effectue par un étalonnage sur l’écran tactile. L’unité d’évaluation fonctionne sur une plage de températures comprises entre +10 °C et +40 °C, et présente un indice de protection IP20. En fonction des conditions-cadres techniques, l’utilisateur peut utiliser l’unité d’évaluation </w:t>
      </w:r>
      <w:proofErr w:type="spellStart"/>
      <w:r>
        <w:t>flowplus</w:t>
      </w:r>
      <w:proofErr w:type="spellEnd"/>
      <w:r>
        <w:t xml:space="preserve">-MONITOR QC avec un pied ou la monter à l’arrière sur des </w:t>
      </w:r>
      <w:r>
        <w:lastRenderedPageBreak/>
        <w:t xml:space="preserve">supports individuels à l’aide de trous filetés. L’unité d’évaluation </w:t>
      </w:r>
      <w:proofErr w:type="spellStart"/>
      <w:r>
        <w:t>flowplus</w:t>
      </w:r>
      <w:proofErr w:type="spellEnd"/>
      <w:r>
        <w:t>-MONITOR QC aide le client à sécuriser ses processus grâce à la détection d’inclusions d’air dans le matériau ainsi que d’obturations des aiguilles de dosage et permet ainsi une fabrication de pièces exempte d’erreurs.</w:t>
      </w:r>
    </w:p>
    <w:p w14:paraId="390F3055" w14:textId="16BE07D8" w:rsidR="008D0216" w:rsidRPr="0079137E" w:rsidRDefault="008D0216" w:rsidP="002D4BA5">
      <w:pPr>
        <w:pStyle w:val="Presse-Fliesstext"/>
      </w:pPr>
      <w:r w:rsidRPr="00BA0A55">
        <w:t xml:space="preserve">L'unité d'évaluation </w:t>
      </w:r>
      <w:proofErr w:type="spellStart"/>
      <w:r w:rsidRPr="00BA0A55">
        <w:t>flowplus</w:t>
      </w:r>
      <w:proofErr w:type="spellEnd"/>
      <w:r w:rsidRPr="00BA0A55">
        <w:t xml:space="preserve">-MONITOR QC remplace le </w:t>
      </w:r>
      <w:proofErr w:type="spellStart"/>
      <w:r w:rsidRPr="00BA0A55">
        <w:t>flowscreen</w:t>
      </w:r>
      <w:proofErr w:type="spellEnd"/>
      <w:r w:rsidRPr="00BA0A55">
        <w:t xml:space="preserve"> connu jusqu'à présent.</w:t>
      </w:r>
    </w:p>
    <w:p w14:paraId="0AA8B0A3" w14:textId="77777777" w:rsidR="0079137E" w:rsidRPr="0079137E" w:rsidRDefault="0079137E" w:rsidP="000E2BA7">
      <w:pPr>
        <w:pStyle w:val="Fliesstext"/>
      </w:pPr>
    </w:p>
    <w:p w14:paraId="3275F5E9" w14:textId="6223456D" w:rsidR="00F074B2" w:rsidRPr="0007252B" w:rsidRDefault="00EF500B" w:rsidP="000E2BA7">
      <w:pPr>
        <w:pStyle w:val="Fliesstext"/>
      </w:pPr>
      <w:r>
        <w:t>2 </w:t>
      </w:r>
      <w:r w:rsidR="00E77F30">
        <w:t>838</w:t>
      </w:r>
      <w:r>
        <w:rPr>
          <w:color w:val="FF0000"/>
        </w:rPr>
        <w:t xml:space="preserve"> </w:t>
      </w:r>
      <w:r>
        <w:t>caractères, espaces comprises. Reproduction libre. Justificatif demandé.</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t>Photo :</w:t>
      </w:r>
    </w:p>
    <w:p w14:paraId="5A0EC103" w14:textId="77777777" w:rsidR="000E2BA7" w:rsidRPr="00031C83" w:rsidRDefault="000E2BA7" w:rsidP="000E2BA7">
      <w:pPr>
        <w:pStyle w:val="Subheadline"/>
      </w:pPr>
    </w:p>
    <w:p w14:paraId="030F7120" w14:textId="4C0BAEB9" w:rsidR="00F074B2" w:rsidRPr="00031C83" w:rsidRDefault="007873A3" w:rsidP="00F074B2">
      <w:pPr>
        <w:pStyle w:val="StandardWeb"/>
        <w:spacing w:line="360" w:lineRule="auto"/>
        <w:ind w:right="1273"/>
        <w:rPr>
          <w:rFonts w:cs="Arial"/>
        </w:rPr>
      </w:pPr>
      <w:r>
        <w:rPr>
          <w:noProof/>
        </w:rPr>
        <w:drawing>
          <wp:inline distT="0" distB="0" distL="0" distR="0" wp14:anchorId="773AD422" wp14:editId="6A5F7925">
            <wp:extent cx="2329576" cy="1630680"/>
            <wp:effectExtent l="19050" t="19050" r="13970"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33353" cy="1633324"/>
                    </a:xfrm>
                    <a:prstGeom prst="rect">
                      <a:avLst/>
                    </a:prstGeom>
                    <a:ln>
                      <a:solidFill>
                        <a:schemeClr val="accent1"/>
                      </a:solidFill>
                    </a:ln>
                  </pic:spPr>
                </pic:pic>
              </a:graphicData>
            </a:graphic>
          </wp:inline>
        </w:drawing>
      </w:r>
    </w:p>
    <w:p w14:paraId="027394B9" w14:textId="35D8D7F2" w:rsidR="00F074B2" w:rsidRPr="00031C83" w:rsidRDefault="007873A3" w:rsidP="000E2BA7">
      <w:pPr>
        <w:pStyle w:val="Bildunterschrift"/>
      </w:pPr>
      <w:proofErr w:type="spellStart"/>
      <w:proofErr w:type="gramStart"/>
      <w:r>
        <w:t>flowplus</w:t>
      </w:r>
      <w:proofErr w:type="spellEnd"/>
      <w:proofErr w:type="gramEnd"/>
      <w:r>
        <w:t>-MONITOR QC</w:t>
      </w:r>
    </w:p>
    <w:p w14:paraId="271D2440" w14:textId="77777777" w:rsidR="00757DB4" w:rsidRDefault="00757DB4" w:rsidP="000E2BA7">
      <w:pPr>
        <w:pStyle w:val="Subheadline"/>
      </w:pPr>
    </w:p>
    <w:p w14:paraId="240467B7" w14:textId="77777777" w:rsidR="00F074B2" w:rsidRPr="00031C83" w:rsidRDefault="00F074B2" w:rsidP="000E2BA7">
      <w:pPr>
        <w:pStyle w:val="Subheadline"/>
      </w:pPr>
      <w:r>
        <w:t>ViscoTec – Le dosage à la perfection !</w:t>
      </w:r>
    </w:p>
    <w:p w14:paraId="580B99B7" w14:textId="66968734" w:rsidR="00E0446F" w:rsidRDefault="00E0446F" w:rsidP="00E0446F">
      <w:pPr>
        <w:pStyle w:val="Fliesstext"/>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en France et à Hongkong et emploie environ 3</w:t>
      </w:r>
      <w:r w:rsidR="00E3555A">
        <w:t>3</w:t>
      </w:r>
      <w: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Tous les fluides, dont certains présentent une viscosité pouvant atteindre 7 000 000 </w:t>
      </w:r>
      <w:proofErr w:type="spellStart"/>
      <w:r>
        <w:t>mPas</w:t>
      </w:r>
      <w:proofErr w:type="spellEnd"/>
      <w:r>
        <w:t>, sont refoulés et dosés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BA0A55" w:rsidRDefault="00F074B2" w:rsidP="000E2BA7">
      <w:pPr>
        <w:pStyle w:val="Subheadline"/>
        <w:rPr>
          <w:lang w:val="de-DE"/>
        </w:rPr>
      </w:pPr>
      <w:r w:rsidRPr="00BA0A55">
        <w:rPr>
          <w:lang w:val="de-DE"/>
        </w:rPr>
        <w:t xml:space="preserve">Contact </w:t>
      </w:r>
      <w:proofErr w:type="gramStart"/>
      <w:r w:rsidRPr="00BA0A55">
        <w:rPr>
          <w:lang w:val="de-DE"/>
        </w:rPr>
        <w:t>presse :</w:t>
      </w:r>
      <w:proofErr w:type="gramEnd"/>
    </w:p>
    <w:p w14:paraId="384F0264" w14:textId="77777777" w:rsidR="00F074B2" w:rsidRPr="00BA0A55" w:rsidRDefault="00AD0AF2" w:rsidP="000E2BA7">
      <w:pPr>
        <w:pStyle w:val="Fliesstext"/>
        <w:rPr>
          <w:lang w:val="de-DE"/>
        </w:rPr>
      </w:pPr>
      <w:r w:rsidRPr="00BA0A55">
        <w:rPr>
          <w:lang w:val="de-DE"/>
        </w:rPr>
        <w:t>Lisa Kiesenbauer, Marketing</w:t>
      </w:r>
    </w:p>
    <w:p w14:paraId="4A1B8899" w14:textId="77777777" w:rsidR="00F074B2" w:rsidRPr="00BA0A55" w:rsidRDefault="00F074B2" w:rsidP="000E2BA7">
      <w:pPr>
        <w:pStyle w:val="Fliesstext"/>
        <w:rPr>
          <w:lang w:val="de-DE"/>
        </w:rPr>
      </w:pPr>
      <w:r w:rsidRPr="00BA0A55">
        <w:rPr>
          <w:lang w:val="de-DE"/>
        </w:rPr>
        <w:t>ViscoTec Pumpen- u. Dosiertechnik GmbH</w:t>
      </w:r>
    </w:p>
    <w:p w14:paraId="1D54405B" w14:textId="77777777" w:rsidR="00F074B2" w:rsidRPr="00BA0A55" w:rsidRDefault="00F074B2" w:rsidP="000E2BA7">
      <w:pPr>
        <w:pStyle w:val="Fliesstext"/>
        <w:rPr>
          <w:lang w:val="de-DE"/>
        </w:rPr>
      </w:pPr>
      <w:proofErr w:type="spellStart"/>
      <w:r w:rsidRPr="00BA0A55">
        <w:rPr>
          <w:lang w:val="de-DE"/>
        </w:rPr>
        <w:t>Amperstraße</w:t>
      </w:r>
      <w:proofErr w:type="spellEnd"/>
      <w:r w:rsidRPr="00BA0A55">
        <w:rPr>
          <w:lang w:val="de-DE"/>
        </w:rPr>
        <w:t xml:space="preserve"> 13 | 84513 Töging a. Inn | Germany</w:t>
      </w:r>
    </w:p>
    <w:p w14:paraId="4435B6AE" w14:textId="77777777" w:rsidR="00F074B2" w:rsidRPr="00031C83" w:rsidRDefault="00F074B2" w:rsidP="000E2BA7">
      <w:pPr>
        <w:pStyle w:val="Fliesstext"/>
      </w:pPr>
      <w:r>
        <w:t xml:space="preserve">Tél. : +49 8631 9274-0 </w:t>
      </w:r>
    </w:p>
    <w:p w14:paraId="5BADFFF6" w14:textId="77777777" w:rsidR="00F074B2" w:rsidRPr="00031C83" w:rsidRDefault="00AD0AF2" w:rsidP="000E2BA7">
      <w:pPr>
        <w:pStyle w:val="Fliesstext"/>
      </w:pPr>
      <w:r>
        <w:t>lisa.kiesenbauer@viscotec.de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21930" w14:textId="77777777" w:rsidR="001F0CBF" w:rsidRDefault="001F0CBF">
      <w:r>
        <w:separator/>
      </w:r>
    </w:p>
  </w:endnote>
  <w:endnote w:type="continuationSeparator" w:id="0">
    <w:p w14:paraId="202B3BEB" w14:textId="77777777" w:rsidR="001F0CBF" w:rsidRDefault="001F0CBF">
      <w:r>
        <w:continuationSeparator/>
      </w:r>
    </w:p>
  </w:endnote>
  <w:endnote w:type="continuationNotice" w:id="1">
    <w:p w14:paraId="4AE2D638" w14:textId="77777777" w:rsidR="001F0CBF" w:rsidRDefault="001F0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58241"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6299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67E989E9" w14:textId="77777777" w:rsidR="00AE2DD9" w:rsidRDefault="00AE2DD9" w:rsidP="003976F5">
    <w:pPr>
      <w:tabs>
        <w:tab w:val="left" w:pos="450"/>
        <w:tab w:val="left" w:pos="3261"/>
        <w:tab w:val="left" w:pos="5954"/>
        <w:tab w:val="left" w:pos="8789"/>
      </w:tabs>
      <w:rPr>
        <w:rFonts w:cs="Arial"/>
        <w:b/>
        <w:noProof/>
        <w:sz w:val="14"/>
        <w:szCs w:val="14"/>
      </w:rPr>
    </w:pPr>
  </w:p>
  <w:p w14:paraId="055CACC7" w14:textId="77777777" w:rsidR="00DB594E" w:rsidRDefault="00DB594E" w:rsidP="003976F5">
    <w:pPr>
      <w:tabs>
        <w:tab w:val="left" w:pos="450"/>
        <w:tab w:val="left" w:pos="3261"/>
        <w:tab w:val="left" w:pos="5954"/>
        <w:tab w:val="left" w:pos="8789"/>
      </w:tabs>
      <w:rPr>
        <w:rFonts w:cs="Arial"/>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4F5D0ECE" w14:textId="77777777" w:rsidR="004B3830" w:rsidRPr="008D0216" w:rsidRDefault="00DB594E" w:rsidP="003976F5">
    <w:pPr>
      <w:tabs>
        <w:tab w:val="left" w:pos="450"/>
        <w:tab w:val="left" w:pos="3261"/>
        <w:tab w:val="left" w:pos="5954"/>
        <w:tab w:val="left" w:pos="6096"/>
        <w:tab w:val="left" w:pos="8789"/>
        <w:tab w:val="left" w:pos="8931"/>
      </w:tabs>
      <w:rPr>
        <w:rFonts w:cs="Arial"/>
        <w:color w:val="7F7F7F"/>
        <w:sz w:val="16"/>
        <w:szCs w:val="16"/>
        <w:lang w:val="de-DE"/>
      </w:rPr>
    </w:pPr>
    <w:r w:rsidRPr="008D0216">
      <w:rPr>
        <w:b/>
        <w:sz w:val="14"/>
        <w:lang w:val="de-DE"/>
      </w:rPr>
      <w:t>Pumpen- u. Dosiertechnik GmbH</w:t>
    </w:r>
    <w:r w:rsidRPr="008D0216">
      <w:rPr>
        <w:sz w:val="14"/>
        <w:lang w:val="de-DE"/>
      </w:rPr>
      <w:tab/>
      <w:t>D–84513 Töging a. Inn</w:t>
    </w:r>
    <w:r w:rsidRPr="008D0216">
      <w:rPr>
        <w:color w:val="7F7F7F"/>
        <w:sz w:val="14"/>
        <w:lang w:val="de-DE"/>
      </w:rPr>
      <w:tab/>
    </w:r>
    <w:r w:rsidRPr="008D0216">
      <w:rPr>
        <w:b/>
        <w:color w:val="00B0F0"/>
        <w:sz w:val="14"/>
        <w:lang w:val="de-DE"/>
      </w:rPr>
      <w:t>F</w:t>
    </w:r>
    <w:r w:rsidRPr="008D0216">
      <w:rPr>
        <w:color w:val="7F7F7F"/>
        <w:sz w:val="14"/>
        <w:lang w:val="de-DE"/>
      </w:rPr>
      <w:t xml:space="preserve">  </w:t>
    </w:r>
    <w:r w:rsidRPr="008D0216">
      <w:rPr>
        <w:sz w:val="14"/>
        <w:lang w:val="de-DE"/>
      </w:rPr>
      <w:t>+49 8631 9274-300</w:t>
    </w:r>
    <w:r w:rsidRPr="008D0216">
      <w:rPr>
        <w:color w:val="7F7F7F"/>
        <w:sz w:val="14"/>
        <w:lang w:val="de-DE"/>
      </w:rPr>
      <w:tab/>
    </w:r>
    <w:r w:rsidRPr="008D0216">
      <w:rPr>
        <w:b/>
        <w:color w:val="00B0F0"/>
        <w:sz w:val="14"/>
        <w:lang w:val="de-DE"/>
      </w:rPr>
      <w:t>E</w:t>
    </w:r>
    <w:r w:rsidRPr="008D0216">
      <w:rPr>
        <w:color w:val="7F7F7F"/>
        <w:sz w:val="14"/>
        <w:lang w:val="de-DE"/>
      </w:rPr>
      <w:t xml:space="preserve">  </w:t>
    </w:r>
    <w:r w:rsidRPr="008D0216">
      <w:rPr>
        <w:sz w:val="14"/>
        <w:lang w:val="de-DE"/>
      </w:rPr>
      <w:t>mail@viscotec.de</w:t>
    </w:r>
  </w:p>
  <w:p w14:paraId="400DDDBC" w14:textId="77777777" w:rsidR="004B3830" w:rsidRPr="008D0216" w:rsidRDefault="004B3830" w:rsidP="00DB594E">
    <w:pPr>
      <w:tabs>
        <w:tab w:val="left" w:pos="3261"/>
      </w:tabs>
      <w:rPr>
        <w:rFonts w:cs="Arial"/>
        <w:color w:val="7F7F7F"/>
        <w:sz w:val="16"/>
        <w:szCs w:val="16"/>
        <w:lang w:val="de-DE"/>
      </w:rPr>
    </w:pPr>
  </w:p>
  <w:p w14:paraId="6F005A86" w14:textId="77777777" w:rsidR="004B3830" w:rsidRPr="008D0216" w:rsidRDefault="004B3830" w:rsidP="00C13A2D">
    <w:pPr>
      <w:rPr>
        <w:rFonts w:cs="Arial"/>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4D7DA" w14:textId="77777777" w:rsidR="001F0CBF" w:rsidRDefault="001F0CBF">
      <w:r>
        <w:separator/>
      </w:r>
    </w:p>
  </w:footnote>
  <w:footnote w:type="continuationSeparator" w:id="0">
    <w:p w14:paraId="239B63D5" w14:textId="77777777" w:rsidR="001F0CBF" w:rsidRDefault="001F0CBF">
      <w:r>
        <w:continuationSeparator/>
      </w:r>
    </w:p>
  </w:footnote>
  <w:footnote w:type="continuationNotice" w:id="1">
    <w:p w14:paraId="24649EEE" w14:textId="77777777" w:rsidR="001F0CBF" w:rsidRDefault="001F0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Pr>
        <w:caps/>
        <w:color w:val="009DE0" w:themeColor="accent6"/>
      </w:rPr>
      <w:t>Communiqué de presse</w:t>
    </w:r>
  </w:p>
  <w:p w14:paraId="35034BC1" w14:textId="77777777" w:rsidR="004B3830" w:rsidRDefault="002145DD">
    <w:pPr>
      <w:rPr>
        <w:rFonts w:cs="Arial"/>
        <w:sz w:val="16"/>
        <w:szCs w:val="16"/>
      </w:rPr>
    </w:pPr>
    <w:r>
      <w:rPr>
        <w:noProof/>
        <w:color w:val="7F7F7F"/>
        <w:sz w:val="16"/>
      </w:rPr>
      <w:drawing>
        <wp:anchor distT="0" distB="0" distL="114300" distR="114300" simplePos="0" relativeHeight="251658240"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0E31"/>
    <w:rsid w:val="00012C68"/>
    <w:rsid w:val="00014B5A"/>
    <w:rsid w:val="00031C83"/>
    <w:rsid w:val="00036722"/>
    <w:rsid w:val="00060FDA"/>
    <w:rsid w:val="0007252B"/>
    <w:rsid w:val="0008235A"/>
    <w:rsid w:val="000857E6"/>
    <w:rsid w:val="00085A89"/>
    <w:rsid w:val="00090F53"/>
    <w:rsid w:val="00090F5E"/>
    <w:rsid w:val="00092C13"/>
    <w:rsid w:val="000937BB"/>
    <w:rsid w:val="000C6345"/>
    <w:rsid w:val="000D06A0"/>
    <w:rsid w:val="000D7F60"/>
    <w:rsid w:val="000E2BA7"/>
    <w:rsid w:val="00121DC3"/>
    <w:rsid w:val="00124EAD"/>
    <w:rsid w:val="00125C7C"/>
    <w:rsid w:val="00130F23"/>
    <w:rsid w:val="00150577"/>
    <w:rsid w:val="0016584C"/>
    <w:rsid w:val="00170EF2"/>
    <w:rsid w:val="00181A8E"/>
    <w:rsid w:val="001827BA"/>
    <w:rsid w:val="00186D5A"/>
    <w:rsid w:val="00191589"/>
    <w:rsid w:val="00194215"/>
    <w:rsid w:val="001B27E2"/>
    <w:rsid w:val="001C24FD"/>
    <w:rsid w:val="001C7585"/>
    <w:rsid w:val="001D73C3"/>
    <w:rsid w:val="001E381D"/>
    <w:rsid w:val="001F0CBF"/>
    <w:rsid w:val="001F356B"/>
    <w:rsid w:val="001F520D"/>
    <w:rsid w:val="002145DD"/>
    <w:rsid w:val="002217A8"/>
    <w:rsid w:val="0022390C"/>
    <w:rsid w:val="00270FE7"/>
    <w:rsid w:val="002765F1"/>
    <w:rsid w:val="002806D3"/>
    <w:rsid w:val="002823B0"/>
    <w:rsid w:val="00284406"/>
    <w:rsid w:val="00294735"/>
    <w:rsid w:val="00297513"/>
    <w:rsid w:val="002B2120"/>
    <w:rsid w:val="002B507B"/>
    <w:rsid w:val="002D03A9"/>
    <w:rsid w:val="002D4BA5"/>
    <w:rsid w:val="002E2147"/>
    <w:rsid w:val="002E2EC9"/>
    <w:rsid w:val="002F1753"/>
    <w:rsid w:val="002F4234"/>
    <w:rsid w:val="002F53E0"/>
    <w:rsid w:val="00301B89"/>
    <w:rsid w:val="0030370D"/>
    <w:rsid w:val="003511DC"/>
    <w:rsid w:val="00353DCC"/>
    <w:rsid w:val="00366EF8"/>
    <w:rsid w:val="0037310C"/>
    <w:rsid w:val="0038450E"/>
    <w:rsid w:val="00390802"/>
    <w:rsid w:val="00393D26"/>
    <w:rsid w:val="003976F5"/>
    <w:rsid w:val="00397B89"/>
    <w:rsid w:val="003B58AA"/>
    <w:rsid w:val="003D224A"/>
    <w:rsid w:val="003D369C"/>
    <w:rsid w:val="003D606D"/>
    <w:rsid w:val="00401BBD"/>
    <w:rsid w:val="004023F4"/>
    <w:rsid w:val="004111B1"/>
    <w:rsid w:val="00426AC8"/>
    <w:rsid w:val="00431F7F"/>
    <w:rsid w:val="00454676"/>
    <w:rsid w:val="00473102"/>
    <w:rsid w:val="004770C6"/>
    <w:rsid w:val="004A4C15"/>
    <w:rsid w:val="004B3830"/>
    <w:rsid w:val="004C6A67"/>
    <w:rsid w:val="004F398D"/>
    <w:rsid w:val="004F5700"/>
    <w:rsid w:val="004F5CA9"/>
    <w:rsid w:val="0050281D"/>
    <w:rsid w:val="005075EC"/>
    <w:rsid w:val="00513156"/>
    <w:rsid w:val="0052307D"/>
    <w:rsid w:val="00533C74"/>
    <w:rsid w:val="00534826"/>
    <w:rsid w:val="00535911"/>
    <w:rsid w:val="005363AD"/>
    <w:rsid w:val="00546363"/>
    <w:rsid w:val="00547C32"/>
    <w:rsid w:val="00551F5B"/>
    <w:rsid w:val="00553231"/>
    <w:rsid w:val="005566EC"/>
    <w:rsid w:val="005624D6"/>
    <w:rsid w:val="00562844"/>
    <w:rsid w:val="005726B7"/>
    <w:rsid w:val="00583200"/>
    <w:rsid w:val="00583CC5"/>
    <w:rsid w:val="0058577D"/>
    <w:rsid w:val="00595668"/>
    <w:rsid w:val="005B32A5"/>
    <w:rsid w:val="005C2903"/>
    <w:rsid w:val="005D0F09"/>
    <w:rsid w:val="005D15B0"/>
    <w:rsid w:val="005D7E04"/>
    <w:rsid w:val="005F2038"/>
    <w:rsid w:val="005F5262"/>
    <w:rsid w:val="00611CE1"/>
    <w:rsid w:val="00615DEA"/>
    <w:rsid w:val="0061700A"/>
    <w:rsid w:val="00624FC8"/>
    <w:rsid w:val="0062736B"/>
    <w:rsid w:val="0062759D"/>
    <w:rsid w:val="00627E74"/>
    <w:rsid w:val="00650FEE"/>
    <w:rsid w:val="006531AE"/>
    <w:rsid w:val="00671EB4"/>
    <w:rsid w:val="00693C04"/>
    <w:rsid w:val="006A6C0E"/>
    <w:rsid w:val="006C2656"/>
    <w:rsid w:val="006D2D70"/>
    <w:rsid w:val="006E552A"/>
    <w:rsid w:val="006F198C"/>
    <w:rsid w:val="006F66EB"/>
    <w:rsid w:val="00711926"/>
    <w:rsid w:val="00711B73"/>
    <w:rsid w:val="00721738"/>
    <w:rsid w:val="00735BD6"/>
    <w:rsid w:val="0073733A"/>
    <w:rsid w:val="007475B9"/>
    <w:rsid w:val="007561F9"/>
    <w:rsid w:val="00757DB4"/>
    <w:rsid w:val="007602BD"/>
    <w:rsid w:val="00760510"/>
    <w:rsid w:val="00773ED5"/>
    <w:rsid w:val="0077677A"/>
    <w:rsid w:val="007824A4"/>
    <w:rsid w:val="007873A3"/>
    <w:rsid w:val="0079137E"/>
    <w:rsid w:val="00794DE4"/>
    <w:rsid w:val="00797B87"/>
    <w:rsid w:val="007B0AD8"/>
    <w:rsid w:val="007C1D15"/>
    <w:rsid w:val="007C3631"/>
    <w:rsid w:val="007C3A1D"/>
    <w:rsid w:val="007D5108"/>
    <w:rsid w:val="007F3D1D"/>
    <w:rsid w:val="007F5445"/>
    <w:rsid w:val="007F592F"/>
    <w:rsid w:val="007F738F"/>
    <w:rsid w:val="00814DD8"/>
    <w:rsid w:val="0083310B"/>
    <w:rsid w:val="008404BA"/>
    <w:rsid w:val="00872280"/>
    <w:rsid w:val="00873107"/>
    <w:rsid w:val="00881B09"/>
    <w:rsid w:val="008A36FE"/>
    <w:rsid w:val="008B14A5"/>
    <w:rsid w:val="008C0E59"/>
    <w:rsid w:val="008C0FD4"/>
    <w:rsid w:val="008C49C9"/>
    <w:rsid w:val="008D0216"/>
    <w:rsid w:val="008D154F"/>
    <w:rsid w:val="008F2136"/>
    <w:rsid w:val="00904BB2"/>
    <w:rsid w:val="00910AEB"/>
    <w:rsid w:val="009139CC"/>
    <w:rsid w:val="0092628F"/>
    <w:rsid w:val="0094282B"/>
    <w:rsid w:val="009467AC"/>
    <w:rsid w:val="009513E0"/>
    <w:rsid w:val="00965AEA"/>
    <w:rsid w:val="00970566"/>
    <w:rsid w:val="0098528E"/>
    <w:rsid w:val="00985FB4"/>
    <w:rsid w:val="00986BE5"/>
    <w:rsid w:val="009A5722"/>
    <w:rsid w:val="009D2A8B"/>
    <w:rsid w:val="009D2E29"/>
    <w:rsid w:val="009D4116"/>
    <w:rsid w:val="009E249C"/>
    <w:rsid w:val="009F51C7"/>
    <w:rsid w:val="00A118C5"/>
    <w:rsid w:val="00A15EE2"/>
    <w:rsid w:val="00A16B40"/>
    <w:rsid w:val="00A214ED"/>
    <w:rsid w:val="00A35335"/>
    <w:rsid w:val="00A41413"/>
    <w:rsid w:val="00A82FFA"/>
    <w:rsid w:val="00AA274E"/>
    <w:rsid w:val="00AC65A4"/>
    <w:rsid w:val="00AD0AF2"/>
    <w:rsid w:val="00AD3EFD"/>
    <w:rsid w:val="00AE2DD9"/>
    <w:rsid w:val="00AE3E35"/>
    <w:rsid w:val="00AE7F67"/>
    <w:rsid w:val="00B02F22"/>
    <w:rsid w:val="00B07030"/>
    <w:rsid w:val="00B11A1C"/>
    <w:rsid w:val="00B1330C"/>
    <w:rsid w:val="00B266CD"/>
    <w:rsid w:val="00B275C4"/>
    <w:rsid w:val="00B30813"/>
    <w:rsid w:val="00B35257"/>
    <w:rsid w:val="00B41D41"/>
    <w:rsid w:val="00B42982"/>
    <w:rsid w:val="00B61503"/>
    <w:rsid w:val="00B61FBF"/>
    <w:rsid w:val="00B65DA7"/>
    <w:rsid w:val="00B904F9"/>
    <w:rsid w:val="00B9622B"/>
    <w:rsid w:val="00B97DFF"/>
    <w:rsid w:val="00BA0A55"/>
    <w:rsid w:val="00BE3AD2"/>
    <w:rsid w:val="00BE6360"/>
    <w:rsid w:val="00BF37EF"/>
    <w:rsid w:val="00BF4E55"/>
    <w:rsid w:val="00BF7823"/>
    <w:rsid w:val="00C00F39"/>
    <w:rsid w:val="00C13A2D"/>
    <w:rsid w:val="00C419B0"/>
    <w:rsid w:val="00C450E2"/>
    <w:rsid w:val="00C60AD4"/>
    <w:rsid w:val="00C67124"/>
    <w:rsid w:val="00C733AE"/>
    <w:rsid w:val="00C87C12"/>
    <w:rsid w:val="00C928C1"/>
    <w:rsid w:val="00CA7D41"/>
    <w:rsid w:val="00CD5602"/>
    <w:rsid w:val="00CE60B0"/>
    <w:rsid w:val="00CF5E36"/>
    <w:rsid w:val="00CF5F3B"/>
    <w:rsid w:val="00D002C7"/>
    <w:rsid w:val="00D02E03"/>
    <w:rsid w:val="00D13C31"/>
    <w:rsid w:val="00D33DD0"/>
    <w:rsid w:val="00D60136"/>
    <w:rsid w:val="00D64379"/>
    <w:rsid w:val="00D91514"/>
    <w:rsid w:val="00D92E5D"/>
    <w:rsid w:val="00D94C64"/>
    <w:rsid w:val="00D95BA4"/>
    <w:rsid w:val="00D96389"/>
    <w:rsid w:val="00DB594E"/>
    <w:rsid w:val="00DE5663"/>
    <w:rsid w:val="00E01E4B"/>
    <w:rsid w:val="00E034A5"/>
    <w:rsid w:val="00E0446F"/>
    <w:rsid w:val="00E04BBA"/>
    <w:rsid w:val="00E2103C"/>
    <w:rsid w:val="00E23648"/>
    <w:rsid w:val="00E27D1D"/>
    <w:rsid w:val="00E346A8"/>
    <w:rsid w:val="00E3555A"/>
    <w:rsid w:val="00E5210C"/>
    <w:rsid w:val="00E66813"/>
    <w:rsid w:val="00E76D03"/>
    <w:rsid w:val="00E77F30"/>
    <w:rsid w:val="00EC323D"/>
    <w:rsid w:val="00ED041C"/>
    <w:rsid w:val="00ED7FBF"/>
    <w:rsid w:val="00EE0761"/>
    <w:rsid w:val="00EE1DDC"/>
    <w:rsid w:val="00EF29E9"/>
    <w:rsid w:val="00EF500B"/>
    <w:rsid w:val="00F0275E"/>
    <w:rsid w:val="00F03AE1"/>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 w:type="character" w:styleId="Kommentarzeichen">
    <w:name w:val="annotation reference"/>
    <w:basedOn w:val="Absatz-Standardschriftart"/>
    <w:uiPriority w:val="99"/>
    <w:semiHidden/>
    <w:unhideWhenUsed/>
    <w:rsid w:val="00EC323D"/>
    <w:rPr>
      <w:sz w:val="16"/>
      <w:szCs w:val="16"/>
    </w:rPr>
  </w:style>
  <w:style w:type="paragraph" w:styleId="Kommentarthema">
    <w:name w:val="annotation subject"/>
    <w:basedOn w:val="Kommentartext"/>
    <w:next w:val="Kommentartext"/>
    <w:link w:val="KommentarthemaZchn"/>
    <w:uiPriority w:val="99"/>
    <w:semiHidden/>
    <w:unhideWhenUsed/>
    <w:rsid w:val="00EC323D"/>
    <w:rPr>
      <w:b/>
      <w:bCs/>
    </w:rPr>
  </w:style>
  <w:style w:type="character" w:customStyle="1" w:styleId="KommentartextZchn">
    <w:name w:val="Kommentartext Zchn"/>
    <w:basedOn w:val="Absatz-Standardschriftart"/>
    <w:link w:val="Kommentartext"/>
    <w:semiHidden/>
    <w:rsid w:val="00EC323D"/>
    <w:rPr>
      <w:rFonts w:ascii="Arial" w:hAnsi="Arial"/>
    </w:rPr>
  </w:style>
  <w:style w:type="character" w:customStyle="1" w:styleId="KommentarthemaZchn">
    <w:name w:val="Kommentarthema Zchn"/>
    <w:basedOn w:val="KommentartextZchn"/>
    <w:link w:val="Kommentarthema"/>
    <w:uiPriority w:val="99"/>
    <w:semiHidden/>
    <w:rsid w:val="00EC323D"/>
    <w:rPr>
      <w:rFonts w:ascii="Arial" w:hAnsi="Arial"/>
      <w:b/>
      <w:bCs/>
    </w:rPr>
  </w:style>
  <w:style w:type="character" w:customStyle="1" w:styleId="cf01">
    <w:name w:val="cf01"/>
    <w:basedOn w:val="Absatz-Standardschriftart"/>
    <w:rsid w:val="004F5CA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49336">
      <w:bodyDiv w:val="1"/>
      <w:marLeft w:val="0"/>
      <w:marRight w:val="0"/>
      <w:marTop w:val="0"/>
      <w:marBottom w:val="0"/>
      <w:divBdr>
        <w:top w:val="none" w:sz="0" w:space="0" w:color="auto"/>
        <w:left w:val="none" w:sz="0" w:space="0" w:color="auto"/>
        <w:bottom w:val="none" w:sz="0" w:space="0" w:color="auto"/>
        <w:right w:val="none" w:sz="0" w:space="0" w:color="auto"/>
      </w:divBdr>
      <w:divsChild>
        <w:div w:id="1645697124">
          <w:marLeft w:val="547"/>
          <w:marRight w:val="0"/>
          <w:marTop w:val="240"/>
          <w:marBottom w:val="0"/>
          <w:divBdr>
            <w:top w:val="none" w:sz="0" w:space="0" w:color="auto"/>
            <w:left w:val="none" w:sz="0" w:space="0" w:color="auto"/>
            <w:bottom w:val="none" w:sz="0" w:space="0" w:color="auto"/>
            <w:right w:val="none" w:sz="0" w:space="0" w:color="auto"/>
          </w:divBdr>
        </w:div>
        <w:div w:id="1568494534">
          <w:marLeft w:val="547"/>
          <w:marRight w:val="0"/>
          <w:marTop w:val="240"/>
          <w:marBottom w:val="0"/>
          <w:divBdr>
            <w:top w:val="none" w:sz="0" w:space="0" w:color="auto"/>
            <w:left w:val="none" w:sz="0" w:space="0" w:color="auto"/>
            <w:bottom w:val="none" w:sz="0" w:space="0" w:color="auto"/>
            <w:right w:val="none" w:sz="0" w:space="0" w:color="auto"/>
          </w:divBdr>
        </w:div>
      </w:divsChild>
    </w:div>
    <w:div w:id="60980096">
      <w:bodyDiv w:val="1"/>
      <w:marLeft w:val="0"/>
      <w:marRight w:val="0"/>
      <w:marTop w:val="0"/>
      <w:marBottom w:val="0"/>
      <w:divBdr>
        <w:top w:val="none" w:sz="0" w:space="0" w:color="auto"/>
        <w:left w:val="none" w:sz="0" w:space="0" w:color="auto"/>
        <w:bottom w:val="none" w:sz="0" w:space="0" w:color="auto"/>
        <w:right w:val="none" w:sz="0" w:space="0" w:color="auto"/>
      </w:divBdr>
      <w:divsChild>
        <w:div w:id="1578779786">
          <w:marLeft w:val="547"/>
          <w:marRight w:val="0"/>
          <w:marTop w:val="0"/>
          <w:marBottom w:val="0"/>
          <w:divBdr>
            <w:top w:val="none" w:sz="0" w:space="0" w:color="auto"/>
            <w:left w:val="none" w:sz="0" w:space="0" w:color="auto"/>
            <w:bottom w:val="none" w:sz="0" w:space="0" w:color="auto"/>
            <w:right w:val="none" w:sz="0" w:space="0" w:color="auto"/>
          </w:divBdr>
        </w:div>
      </w:divsChild>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54613721">
      <w:bodyDiv w:val="1"/>
      <w:marLeft w:val="0"/>
      <w:marRight w:val="0"/>
      <w:marTop w:val="0"/>
      <w:marBottom w:val="0"/>
      <w:divBdr>
        <w:top w:val="none" w:sz="0" w:space="0" w:color="auto"/>
        <w:left w:val="none" w:sz="0" w:space="0" w:color="auto"/>
        <w:bottom w:val="none" w:sz="0" w:space="0" w:color="auto"/>
        <w:right w:val="none" w:sz="0" w:space="0" w:color="auto"/>
      </w:divBdr>
      <w:divsChild>
        <w:div w:id="471024391">
          <w:marLeft w:val="547"/>
          <w:marRight w:val="0"/>
          <w:marTop w:val="24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9625463">
      <w:bodyDiv w:val="1"/>
      <w:marLeft w:val="0"/>
      <w:marRight w:val="0"/>
      <w:marTop w:val="0"/>
      <w:marBottom w:val="0"/>
      <w:divBdr>
        <w:top w:val="none" w:sz="0" w:space="0" w:color="auto"/>
        <w:left w:val="none" w:sz="0" w:space="0" w:color="auto"/>
        <w:bottom w:val="none" w:sz="0" w:space="0" w:color="auto"/>
        <w:right w:val="none" w:sz="0" w:space="0" w:color="auto"/>
      </w:divBdr>
      <w:divsChild>
        <w:div w:id="1048577989">
          <w:marLeft w:val="547"/>
          <w:marRight w:val="0"/>
          <w:marTop w:val="0"/>
          <w:marBottom w:val="0"/>
          <w:divBdr>
            <w:top w:val="none" w:sz="0" w:space="0" w:color="auto"/>
            <w:left w:val="none" w:sz="0" w:space="0" w:color="auto"/>
            <w:bottom w:val="none" w:sz="0" w:space="0" w:color="auto"/>
            <w:right w:val="none" w:sz="0" w:space="0" w:color="auto"/>
          </w:divBdr>
        </w:div>
      </w:divsChild>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230460581">
      <w:bodyDiv w:val="1"/>
      <w:marLeft w:val="0"/>
      <w:marRight w:val="0"/>
      <w:marTop w:val="0"/>
      <w:marBottom w:val="0"/>
      <w:divBdr>
        <w:top w:val="none" w:sz="0" w:space="0" w:color="auto"/>
        <w:left w:val="none" w:sz="0" w:space="0" w:color="auto"/>
        <w:bottom w:val="none" w:sz="0" w:space="0" w:color="auto"/>
        <w:right w:val="none" w:sz="0" w:space="0" w:color="auto"/>
      </w:divBdr>
      <w:divsChild>
        <w:div w:id="202402985">
          <w:marLeft w:val="547"/>
          <w:marRight w:val="0"/>
          <w:marTop w:val="240"/>
          <w:marBottom w:val="0"/>
          <w:divBdr>
            <w:top w:val="none" w:sz="0" w:space="0" w:color="auto"/>
            <w:left w:val="none" w:sz="0" w:space="0" w:color="auto"/>
            <w:bottom w:val="none" w:sz="0" w:space="0" w:color="auto"/>
            <w:right w:val="none" w:sz="0" w:space="0" w:color="auto"/>
          </w:divBdr>
        </w:div>
      </w:divsChild>
    </w:div>
    <w:div w:id="1322269682">
      <w:bodyDiv w:val="1"/>
      <w:marLeft w:val="0"/>
      <w:marRight w:val="0"/>
      <w:marTop w:val="0"/>
      <w:marBottom w:val="0"/>
      <w:divBdr>
        <w:top w:val="none" w:sz="0" w:space="0" w:color="auto"/>
        <w:left w:val="none" w:sz="0" w:space="0" w:color="auto"/>
        <w:bottom w:val="none" w:sz="0" w:space="0" w:color="auto"/>
        <w:right w:val="none" w:sz="0" w:space="0" w:color="auto"/>
      </w:divBdr>
      <w:divsChild>
        <w:div w:id="2027363225">
          <w:marLeft w:val="547"/>
          <w:marRight w:val="0"/>
          <w:marTop w:val="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496535110">
      <w:bodyDiv w:val="1"/>
      <w:marLeft w:val="0"/>
      <w:marRight w:val="0"/>
      <w:marTop w:val="0"/>
      <w:marBottom w:val="0"/>
      <w:divBdr>
        <w:top w:val="none" w:sz="0" w:space="0" w:color="auto"/>
        <w:left w:val="none" w:sz="0" w:space="0" w:color="auto"/>
        <w:bottom w:val="none" w:sz="0" w:space="0" w:color="auto"/>
        <w:right w:val="none" w:sz="0" w:space="0" w:color="auto"/>
      </w:divBdr>
      <w:divsChild>
        <w:div w:id="500775429">
          <w:marLeft w:val="547"/>
          <w:marRight w:val="0"/>
          <w:marTop w:val="240"/>
          <w:marBottom w:val="0"/>
          <w:divBdr>
            <w:top w:val="none" w:sz="0" w:space="0" w:color="auto"/>
            <w:left w:val="none" w:sz="0" w:space="0" w:color="auto"/>
            <w:bottom w:val="none" w:sz="0" w:space="0" w:color="auto"/>
            <w:right w:val="none" w:sz="0" w:space="0" w:color="auto"/>
          </w:divBdr>
        </w:div>
      </w:divsChild>
    </w:div>
    <w:div w:id="1807432361">
      <w:bodyDiv w:val="1"/>
      <w:marLeft w:val="0"/>
      <w:marRight w:val="0"/>
      <w:marTop w:val="0"/>
      <w:marBottom w:val="0"/>
      <w:divBdr>
        <w:top w:val="none" w:sz="0" w:space="0" w:color="auto"/>
        <w:left w:val="none" w:sz="0" w:space="0" w:color="auto"/>
        <w:bottom w:val="none" w:sz="0" w:space="0" w:color="auto"/>
        <w:right w:val="none" w:sz="0" w:space="0" w:color="auto"/>
      </w:divBdr>
      <w:divsChild>
        <w:div w:id="1892035006">
          <w:marLeft w:val="547"/>
          <w:marRight w:val="0"/>
          <w:marTop w:val="240"/>
          <w:marBottom w:val="0"/>
          <w:divBdr>
            <w:top w:val="none" w:sz="0" w:space="0" w:color="auto"/>
            <w:left w:val="none" w:sz="0" w:space="0" w:color="auto"/>
            <w:bottom w:val="none" w:sz="0" w:space="0" w:color="auto"/>
            <w:right w:val="none" w:sz="0" w:space="0" w:color="auto"/>
          </w:divBdr>
        </w:div>
      </w:divsChild>
    </w:div>
    <w:div w:id="2032804100">
      <w:bodyDiv w:val="1"/>
      <w:marLeft w:val="0"/>
      <w:marRight w:val="0"/>
      <w:marTop w:val="0"/>
      <w:marBottom w:val="0"/>
      <w:divBdr>
        <w:top w:val="none" w:sz="0" w:space="0" w:color="auto"/>
        <w:left w:val="none" w:sz="0" w:space="0" w:color="auto"/>
        <w:bottom w:val="none" w:sz="0" w:space="0" w:color="auto"/>
        <w:right w:val="none" w:sz="0" w:space="0" w:color="auto"/>
      </w:divBdr>
      <w:divsChild>
        <w:div w:id="972295974">
          <w:marLeft w:val="547"/>
          <w:marRight w:val="0"/>
          <w:marTop w:val="240"/>
          <w:marBottom w:val="0"/>
          <w:divBdr>
            <w:top w:val="none" w:sz="0" w:space="0" w:color="auto"/>
            <w:left w:val="none" w:sz="0" w:space="0" w:color="auto"/>
            <w:bottom w:val="none" w:sz="0" w:space="0" w:color="auto"/>
            <w:right w:val="none" w:sz="0" w:space="0" w:color="auto"/>
          </w:divBdr>
        </w:div>
        <w:div w:id="548733218">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A209E787-DF5D-4D30-A50F-B1794CB49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4116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4760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13</cp:revision>
  <cp:lastPrinted>2012-02-28T06:54:00Z</cp:lastPrinted>
  <dcterms:created xsi:type="dcterms:W3CDTF">2022-12-19T15:30:00Z</dcterms:created>
  <dcterms:modified xsi:type="dcterms:W3CDTF">2023-07-28T14:23:00Z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MediaServiceImageTags">
    <vt:lpwstr/>
  </property>
  <property fmtid="{D5CDD505-2E9C-101B-9397-08002B2CF9AE}" pid="4" name="ContentTypeId">
    <vt:lpwstr>0x01010000857DAC910FA042B0D84BA0454A290B</vt:lpwstr>
  </property>
</Properties>
</file>